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A0" w:rsidRDefault="006857A0" w:rsidP="00530A4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Institution-Set Standards</w:t>
      </w:r>
    </w:p>
    <w:p w:rsidR="005B5386" w:rsidRPr="00E07E4C" w:rsidRDefault="005B5386" w:rsidP="005B5386">
      <w:pPr>
        <w:tabs>
          <w:tab w:val="left" w:pos="8382"/>
        </w:tabs>
        <w:spacing w:after="0" w:line="240" w:lineRule="auto"/>
        <w:rPr>
          <w:rFonts w:ascii="Times New Roman" w:eastAsia="Times New Roman" w:hAnsi="Times New Roman" w:cs="Times New Roman"/>
          <w:sz w:val="24"/>
          <w:szCs w:val="24"/>
        </w:rPr>
      </w:pPr>
    </w:p>
    <w:p w:rsidR="00935001" w:rsidRDefault="004301A5" w:rsidP="005B53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Defining Instit</w:t>
      </w:r>
      <w:r w:rsidR="00935001">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t</w:t>
      </w:r>
      <w:r w:rsidR="00935001">
        <w:rPr>
          <w:rFonts w:ascii="Times New Roman" w:eastAsia="Times New Roman" w:hAnsi="Times New Roman" w:cs="Times New Roman"/>
          <w:b/>
          <w:sz w:val="24"/>
          <w:szCs w:val="24"/>
        </w:rPr>
        <w:t>ion-Set Standards</w:t>
      </w:r>
    </w:p>
    <w:p w:rsidR="00530A4C" w:rsidRDefault="00530A4C" w:rsidP="00530A4C">
      <w:pPr>
        <w:autoSpaceDE w:val="0"/>
        <w:autoSpaceDN w:val="0"/>
        <w:adjustRightInd w:val="0"/>
        <w:spacing w:after="0" w:line="240" w:lineRule="auto"/>
        <w:rPr>
          <w:rFonts w:ascii="Times New Roman" w:eastAsia="Times New Roman" w:hAnsi="Times New Roman" w:cs="Times New Roman"/>
          <w:sz w:val="24"/>
          <w:szCs w:val="24"/>
        </w:rPr>
      </w:pPr>
      <w:r w:rsidRPr="00E07E4C">
        <w:rPr>
          <w:rFonts w:ascii="Times New Roman" w:eastAsia="Times New Roman" w:hAnsi="Times New Roman" w:cs="Times New Roman"/>
          <w:sz w:val="24"/>
          <w:szCs w:val="24"/>
        </w:rPr>
        <w:t xml:space="preserve">A standard is the minimum level of performance set by the institution to meet educational quality and institutional effectiveness expectations. This </w:t>
      </w:r>
      <w:r>
        <w:rPr>
          <w:rFonts w:ascii="Times New Roman" w:eastAsia="Times New Roman" w:hAnsi="Times New Roman" w:cs="Times New Roman"/>
          <w:sz w:val="24"/>
          <w:szCs w:val="24"/>
        </w:rPr>
        <w:t>may</w:t>
      </w:r>
      <w:r w:rsidRPr="00E07E4C">
        <w:rPr>
          <w:rFonts w:ascii="Times New Roman" w:eastAsia="Times New Roman" w:hAnsi="Times New Roman" w:cs="Times New Roman"/>
          <w:sz w:val="24"/>
          <w:szCs w:val="24"/>
        </w:rPr>
        <w:t xml:space="preserve"> differ from a performance improvement </w:t>
      </w:r>
      <w:r>
        <w:rPr>
          <w:rFonts w:ascii="Times New Roman" w:eastAsia="Times New Roman" w:hAnsi="Times New Roman" w:cs="Times New Roman"/>
          <w:sz w:val="24"/>
          <w:szCs w:val="24"/>
        </w:rPr>
        <w:t>“</w:t>
      </w:r>
      <w:r w:rsidRPr="00E07E4C">
        <w:rPr>
          <w:rFonts w:ascii="Times New Roman" w:eastAsia="Times New Roman" w:hAnsi="Times New Roman" w:cs="Times New Roman"/>
          <w:sz w:val="24"/>
          <w:szCs w:val="24"/>
        </w:rPr>
        <w:t>goal</w:t>
      </w:r>
      <w:r>
        <w:rPr>
          <w:rFonts w:ascii="Times New Roman" w:eastAsia="Times New Roman" w:hAnsi="Times New Roman" w:cs="Times New Roman"/>
          <w:sz w:val="24"/>
          <w:szCs w:val="24"/>
        </w:rPr>
        <w:t>”</w:t>
      </w:r>
      <w:r w:rsidRPr="00E07E4C">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an institution may aspire to meet (ACCJC)</w:t>
      </w:r>
      <w:r w:rsidRPr="00E07E4C">
        <w:rPr>
          <w:rFonts w:ascii="Times New Roman" w:eastAsia="Times New Roman" w:hAnsi="Times New Roman" w:cs="Times New Roman"/>
          <w:sz w:val="24"/>
          <w:szCs w:val="24"/>
        </w:rPr>
        <w:t>.  The institution-set standards represent a level the institution does not want to fall below, i.e. floor</w:t>
      </w:r>
      <w:r>
        <w:rPr>
          <w:rFonts w:ascii="Times New Roman" w:eastAsia="Times New Roman" w:hAnsi="Times New Roman" w:cs="Times New Roman"/>
          <w:sz w:val="24"/>
          <w:szCs w:val="24"/>
        </w:rPr>
        <w:t>.</w:t>
      </w:r>
    </w:p>
    <w:p w:rsidR="00530A4C" w:rsidRPr="00530A4C" w:rsidRDefault="00530A4C" w:rsidP="005B5386">
      <w:pPr>
        <w:spacing w:after="0" w:line="240" w:lineRule="auto"/>
        <w:rPr>
          <w:rFonts w:ascii="Times New Roman" w:eastAsia="Times New Roman" w:hAnsi="Times New Roman" w:cs="Times New Roman"/>
          <w:sz w:val="24"/>
          <w:szCs w:val="24"/>
        </w:rPr>
      </w:pPr>
    </w:p>
    <w:p w:rsidR="005B5386" w:rsidRDefault="00530A4C" w:rsidP="005B53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ACCJC Standard</w:t>
      </w:r>
      <w:r w:rsidR="00E07E4C" w:rsidRPr="00530A4C">
        <w:rPr>
          <w:rFonts w:ascii="Times New Roman" w:eastAsia="Times New Roman" w:hAnsi="Times New Roman" w:cs="Times New Roman"/>
          <w:sz w:val="24"/>
          <w:szCs w:val="24"/>
          <w:u w:val="single"/>
        </w:rPr>
        <w:t xml:space="preserve"> </w:t>
      </w:r>
      <w:r w:rsidR="005B5386" w:rsidRPr="00530A4C">
        <w:rPr>
          <w:rFonts w:ascii="Times New Roman" w:eastAsia="Times New Roman" w:hAnsi="Times New Roman" w:cs="Times New Roman"/>
          <w:sz w:val="24"/>
          <w:szCs w:val="24"/>
          <w:u w:val="single"/>
        </w:rPr>
        <w:t>I</w:t>
      </w:r>
      <w:r w:rsidR="00E07E4C" w:rsidRPr="00530A4C">
        <w:rPr>
          <w:rFonts w:ascii="Times New Roman" w:eastAsia="Times New Roman" w:hAnsi="Times New Roman" w:cs="Times New Roman"/>
          <w:sz w:val="24"/>
          <w:szCs w:val="24"/>
          <w:u w:val="single"/>
        </w:rPr>
        <w:t>.B.3</w:t>
      </w:r>
      <w:r w:rsidRPr="00530A4C">
        <w:rPr>
          <w:rFonts w:ascii="Times New Roman" w:eastAsia="Times New Roman" w:hAnsi="Times New Roman" w:cs="Times New Roman"/>
          <w:sz w:val="24"/>
          <w:szCs w:val="24"/>
          <w:u w:val="single"/>
        </w:rPr>
        <w:t>:</w:t>
      </w:r>
      <w:r>
        <w:rPr>
          <w:rFonts w:ascii="Times New Roman" w:eastAsia="Times New Roman" w:hAnsi="Times New Roman" w:cs="Times New Roman"/>
          <w:b/>
          <w:sz w:val="24"/>
          <w:szCs w:val="24"/>
        </w:rPr>
        <w:t xml:space="preserve"> </w:t>
      </w:r>
      <w:r w:rsidR="005B5386" w:rsidRPr="00E07E4C">
        <w:rPr>
          <w:rFonts w:ascii="Times New Roman" w:eastAsia="Times New Roman" w:hAnsi="Times New Roman" w:cs="Times New Roman"/>
          <w:sz w:val="24"/>
          <w:szCs w:val="24"/>
        </w:rPr>
        <w:t>The institution publishes institution-set standards for student achievement, appropriate to its mission, and assesses how well it is achieving them in pursuit of continuous improvement.</w:t>
      </w:r>
    </w:p>
    <w:p w:rsidR="00530A4C" w:rsidRDefault="00530A4C" w:rsidP="0005690C">
      <w:pPr>
        <w:spacing w:after="0" w:line="240" w:lineRule="auto"/>
        <w:ind w:left="720"/>
        <w:rPr>
          <w:rFonts w:ascii="Times New Roman" w:eastAsia="Times New Roman" w:hAnsi="Times New Roman" w:cs="Times New Roman"/>
          <w:sz w:val="24"/>
          <w:szCs w:val="24"/>
        </w:rPr>
      </w:pPr>
    </w:p>
    <w:p w:rsidR="004301A5" w:rsidRDefault="004301A5" w:rsidP="004301A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summarizes the data reviewed, recommendations and jus</w:t>
      </w:r>
      <w:r w:rsidR="00A26E78">
        <w:rPr>
          <w:rFonts w:ascii="Times New Roman" w:eastAsia="Times New Roman" w:hAnsi="Times New Roman" w:cs="Times New Roman"/>
          <w:sz w:val="24"/>
          <w:szCs w:val="24"/>
        </w:rPr>
        <w:t>tifications for modifications to the standards.</w:t>
      </w:r>
    </w:p>
    <w:p w:rsidR="00DA0CA1" w:rsidRDefault="00DA0CA1" w:rsidP="006857A0">
      <w:pPr>
        <w:spacing w:after="0" w:line="240" w:lineRule="auto"/>
        <w:rPr>
          <w:rFonts w:ascii="Times New Roman" w:eastAsia="Times New Roman" w:hAnsi="Times New Roman" w:cs="Times New Roman"/>
          <w:sz w:val="24"/>
          <w:szCs w:val="24"/>
        </w:rPr>
      </w:pPr>
    </w:p>
    <w:p w:rsidR="00DA0CA1" w:rsidRDefault="00152B31" w:rsidP="00685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BAF129" wp14:editId="18C29939">
            <wp:extent cx="3985846" cy="3040185"/>
            <wp:effectExtent l="19050" t="19050" r="0" b="82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0CA1" w:rsidRDefault="00CE652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7CE5B0" wp14:editId="5E8483CD">
                <wp:simplePos x="0" y="0"/>
                <wp:positionH relativeFrom="column">
                  <wp:posOffset>1531620</wp:posOffset>
                </wp:positionH>
                <wp:positionV relativeFrom="paragraph">
                  <wp:posOffset>337820</wp:posOffset>
                </wp:positionV>
                <wp:extent cx="2399030" cy="655955"/>
                <wp:effectExtent l="19050" t="19050" r="20320" b="10795"/>
                <wp:wrapNone/>
                <wp:docPr id="2" name="Text Box 2"/>
                <wp:cNvGraphicFramePr/>
                <a:graphic xmlns:a="http://schemas.openxmlformats.org/drawingml/2006/main">
                  <a:graphicData uri="http://schemas.microsoft.com/office/word/2010/wordprocessingShape">
                    <wps:wsp>
                      <wps:cNvSpPr txBox="1"/>
                      <wps:spPr>
                        <a:xfrm>
                          <a:off x="0" y="0"/>
                          <a:ext cx="2399030" cy="655955"/>
                        </a:xfrm>
                        <a:prstGeom prst="rect">
                          <a:avLst/>
                        </a:prstGeom>
                        <a:no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F7557" w:rsidRPr="000F7557" w:rsidRDefault="000F7557" w:rsidP="000F7557">
                            <w:pPr>
                              <w:jc w:val="center"/>
                              <w:rPr>
                                <w:rFonts w:ascii="Times New Roman" w:hAnsi="Times New Roman" w:cs="Times New Roman"/>
                                <w:sz w:val="32"/>
                                <w:szCs w:val="32"/>
                              </w:rPr>
                            </w:pPr>
                            <w:r w:rsidRPr="000F7557">
                              <w:rPr>
                                <w:rFonts w:ascii="Times New Roman" w:hAnsi="Times New Roman" w:cs="Times New Roman"/>
                                <w:sz w:val="32"/>
                                <w:szCs w:val="32"/>
                              </w:rPr>
                              <w:t>Intervention or corrective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6pt;margin-top:26.6pt;width:188.9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" filled="f" strokecolor="red" strokeweight="3pt">
                <v:textbox>
                  <w:txbxContent>
                    <w:p w:rsidR="000F7557" w:rsidRPr="000F7557" w:rsidRDefault="000F7557" w:rsidP="000F7557">
                      <w:pPr>
                        <w:jc w:val="center"/>
                        <w:rPr>
                          <w:rFonts w:ascii="Times New Roman" w:hAnsi="Times New Roman" w:cs="Times New Roman"/>
                          <w:sz w:val="32"/>
                          <w:szCs w:val="32"/>
                        </w:rPr>
                      </w:pPr>
                      <w:r w:rsidRPr="000F7557">
                        <w:rPr>
                          <w:rFonts w:ascii="Times New Roman" w:hAnsi="Times New Roman" w:cs="Times New Roman"/>
                          <w:sz w:val="32"/>
                          <w:szCs w:val="32"/>
                        </w:rPr>
                        <w:t>Intervention or corrective action</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C13AD9" wp14:editId="3BFB5579">
                <wp:simplePos x="0" y="0"/>
                <wp:positionH relativeFrom="column">
                  <wp:posOffset>179217</wp:posOffset>
                </wp:positionH>
                <wp:positionV relativeFrom="paragraph">
                  <wp:posOffset>133350</wp:posOffset>
                </wp:positionV>
                <wp:extent cx="969010" cy="984250"/>
                <wp:effectExtent l="0" t="0" r="21590" b="25400"/>
                <wp:wrapNone/>
                <wp:docPr id="3" name="Octagon 3"/>
                <wp:cNvGraphicFramePr/>
                <a:graphic xmlns:a="http://schemas.openxmlformats.org/drawingml/2006/main">
                  <a:graphicData uri="http://schemas.microsoft.com/office/word/2010/wordprocessingShape">
                    <wps:wsp>
                      <wps:cNvSpPr/>
                      <wps:spPr>
                        <a:xfrm>
                          <a:off x="0" y="0"/>
                          <a:ext cx="969010" cy="984250"/>
                        </a:xfrm>
                        <a:prstGeom prst="octagon">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 o:spid="_x0000_s1026" type="#_x0000_t10" style="position:absolute;margin-left:14.1pt;margin-top:10.5pt;width:76.3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" fillcolor="red" strokecolor="#c00000" strokeweight="2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0AD71A" wp14:editId="1EEAD99D">
                <wp:simplePos x="0" y="0"/>
                <wp:positionH relativeFrom="column">
                  <wp:posOffset>-23447</wp:posOffset>
                </wp:positionH>
                <wp:positionV relativeFrom="paragraph">
                  <wp:posOffset>64965</wp:posOffset>
                </wp:positionV>
                <wp:extent cx="3954291"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3954291" cy="0"/>
                        </a:xfrm>
                        <a:prstGeom prst="line">
                          <a:avLst/>
                        </a:prstGeom>
                        <a:ln w="444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5.1pt" to="30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" strokecolor="red" strokeweight="3.5pt">
                <v:stroke dashstyle="dash"/>
              </v:line>
            </w:pict>
          </mc:Fallback>
        </mc:AlternateContent>
      </w:r>
      <w:r w:rsidR="00DA0CA1">
        <w:rPr>
          <w:rFonts w:ascii="Times New Roman" w:eastAsia="Times New Roman" w:hAnsi="Times New Roman" w:cs="Times New Roman"/>
          <w:sz w:val="24"/>
          <w:szCs w:val="24"/>
        </w:rPr>
        <w:br w:type="page"/>
      </w:r>
    </w:p>
    <w:p w:rsidR="00A26E78" w:rsidRDefault="00A26E78" w:rsidP="00A26E78">
      <w:pPr>
        <w:spacing w:after="0" w:line="240" w:lineRule="auto"/>
        <w:rPr>
          <w:rFonts w:ascii="Times New Roman" w:eastAsia="Times New Roman" w:hAnsi="Times New Roman" w:cs="Times New Roman"/>
          <w:b/>
          <w:sz w:val="24"/>
          <w:szCs w:val="24"/>
        </w:rPr>
      </w:pPr>
      <w:r w:rsidRPr="00935001">
        <w:rPr>
          <w:rFonts w:ascii="Times New Roman" w:eastAsia="Times New Roman" w:hAnsi="Times New Roman" w:cs="Times New Roman"/>
          <w:b/>
          <w:sz w:val="24"/>
          <w:szCs w:val="24"/>
        </w:rPr>
        <w:lastRenderedPageBreak/>
        <w:t>Process and Developments</w:t>
      </w:r>
    </w:p>
    <w:p w:rsidR="006F4976" w:rsidRPr="00935001" w:rsidRDefault="006F4976" w:rsidP="00A26E78">
      <w:pPr>
        <w:spacing w:after="0" w:line="240" w:lineRule="auto"/>
        <w:rPr>
          <w:rFonts w:ascii="Times New Roman" w:eastAsia="Times New Roman" w:hAnsi="Times New Roman" w:cs="Times New Roman"/>
          <w:b/>
          <w:sz w:val="24"/>
          <w:szCs w:val="24"/>
        </w:rPr>
      </w:pPr>
    </w:p>
    <w:p w:rsidR="00A26E78" w:rsidRDefault="00A26E78" w:rsidP="00A26E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2015-2016, the LAVC Program Effectiveness and Planning Committee (PEPC) discussed student achievement data and methodology relative to the institution-set standards established in 2013. The committee revised the persistence (fall-to-fall retention) to include only first-time students and subsequently modified the standard to 41%.  PEPC did not finalize any other recommendations to modify the standards at that time, but prioritized completion of this work for early 2016-2017.  </w:t>
      </w:r>
    </w:p>
    <w:p w:rsidR="00A26E78" w:rsidRDefault="00A26E78" w:rsidP="00A26E78">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2016 ACCJC site visit and the Commission action letter dated July 8, 2016, PEPC approached the data and methodology with the intent of addressing the Commission Concern regarding the rigor of institution-set standards. Specific issues regarding the institution-set standards were not identified in the Team Exit Report or checklist response (see narrative below) and thus provided no direction with regard to specific indicators, levels of achievement or methodology that might be more appropriate.</w:t>
      </w:r>
    </w:p>
    <w:p w:rsidR="00A26E78" w:rsidRDefault="00A26E78" w:rsidP="00A26E7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AB155B" wp14:editId="685F1C2C">
            <wp:extent cx="5361353" cy="1507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1329" cy="1507102"/>
                    </a:xfrm>
                    <a:prstGeom prst="rect">
                      <a:avLst/>
                    </a:prstGeom>
                    <a:noFill/>
                    <a:ln>
                      <a:noFill/>
                    </a:ln>
                  </pic:spPr>
                </pic:pic>
              </a:graphicData>
            </a:graphic>
          </wp:inline>
        </w:drawing>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i/>
        </w:rPr>
      </w:pPr>
      <w:r w:rsidRPr="0005690C">
        <w:rPr>
          <w:rFonts w:ascii="Times New Roman" w:hAnsi="Times New Roman" w:cs="Times New Roman"/>
          <w:i/>
        </w:rPr>
        <w:t xml:space="preserve">Excerpt from the </w:t>
      </w:r>
      <w:r>
        <w:rPr>
          <w:rFonts w:ascii="Times New Roman" w:hAnsi="Times New Roman" w:cs="Times New Roman"/>
          <w:i/>
        </w:rPr>
        <w:t>2016 Exit Report:</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i/>
        </w:rPr>
      </w:pP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Times New Roman" w:hAnsi="Times New Roman" w:cs="Times New Roman"/>
        </w:rPr>
        <w:t>Institutional set standards (ISS) of student achievement (below) were identified via a ten-year trend analysis and subsequently approved in 2013 after being vetted through various campus committees.</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Symbol" w:hAnsi="Symbol" w:cs="Symbol"/>
        </w:rPr>
        <w:t></w:t>
      </w:r>
      <w:r w:rsidRPr="0005690C">
        <w:rPr>
          <w:rFonts w:ascii="Symbol" w:hAnsi="Symbol" w:cs="Symbol"/>
        </w:rPr>
        <w:t></w:t>
      </w:r>
      <w:r w:rsidRPr="0005690C">
        <w:rPr>
          <w:rFonts w:ascii="Times New Roman" w:hAnsi="Times New Roman" w:cs="Times New Roman"/>
        </w:rPr>
        <w:t>Course completion rate: 64% (successful completion – A</w:t>
      </w:r>
      <w:proofErr w:type="gramStart"/>
      <w:r w:rsidRPr="0005690C">
        <w:rPr>
          <w:rFonts w:ascii="Times New Roman" w:hAnsi="Times New Roman" w:cs="Times New Roman"/>
        </w:rPr>
        <w:t>,B,C,P</w:t>
      </w:r>
      <w:proofErr w:type="gramEnd"/>
      <w:r w:rsidRPr="0005690C">
        <w:rPr>
          <w:rFonts w:ascii="Times New Roman" w:hAnsi="Times New Roman" w:cs="Times New Roman"/>
        </w:rPr>
        <w:t xml:space="preserve">/ all grades including </w:t>
      </w:r>
      <w:proofErr w:type="spellStart"/>
      <w:r w:rsidRPr="0005690C">
        <w:rPr>
          <w:rFonts w:ascii="Times New Roman" w:hAnsi="Times New Roman" w:cs="Times New Roman"/>
        </w:rPr>
        <w:t>Ws</w:t>
      </w:r>
      <w:proofErr w:type="spellEnd"/>
      <w:r w:rsidRPr="0005690C">
        <w:rPr>
          <w:rFonts w:ascii="Times New Roman" w:hAnsi="Times New Roman" w:cs="Times New Roman"/>
        </w:rPr>
        <w:t>)</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Symbol" w:hAnsi="Symbol" w:cs="Symbol"/>
        </w:rPr>
        <w:t></w:t>
      </w:r>
      <w:r w:rsidRPr="0005690C">
        <w:rPr>
          <w:rFonts w:ascii="Symbol" w:hAnsi="Symbol" w:cs="Symbol"/>
        </w:rPr>
        <w:t></w:t>
      </w:r>
      <w:r w:rsidRPr="0005690C">
        <w:rPr>
          <w:rFonts w:ascii="Times New Roman" w:hAnsi="Times New Roman" w:cs="Times New Roman"/>
        </w:rPr>
        <w:t xml:space="preserve">Student retention percentage: 32% (Fall to </w:t>
      </w:r>
      <w:proofErr w:type="gramStart"/>
      <w:r w:rsidRPr="0005690C">
        <w:rPr>
          <w:rFonts w:ascii="Times New Roman" w:hAnsi="Times New Roman" w:cs="Times New Roman"/>
        </w:rPr>
        <w:t>Fall</w:t>
      </w:r>
      <w:proofErr w:type="gramEnd"/>
      <w:r w:rsidRPr="0005690C">
        <w:rPr>
          <w:rFonts w:ascii="Times New Roman" w:hAnsi="Times New Roman" w:cs="Times New Roman"/>
        </w:rPr>
        <w:t xml:space="preserve"> – all students)</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Symbol" w:hAnsi="Symbol" w:cs="Symbol"/>
        </w:rPr>
        <w:t></w:t>
      </w:r>
      <w:r w:rsidRPr="0005690C">
        <w:rPr>
          <w:rFonts w:ascii="Symbol" w:hAnsi="Symbol" w:cs="Symbol"/>
        </w:rPr>
        <w:t></w:t>
      </w:r>
      <w:r w:rsidRPr="0005690C">
        <w:rPr>
          <w:rFonts w:ascii="Times New Roman" w:hAnsi="Times New Roman" w:cs="Times New Roman"/>
        </w:rPr>
        <w:t>Student degree completion: 722 (annual)</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Symbol" w:hAnsi="Symbol" w:cs="Symbol"/>
        </w:rPr>
        <w:t></w:t>
      </w:r>
      <w:r w:rsidRPr="0005690C">
        <w:rPr>
          <w:rFonts w:ascii="Symbol" w:hAnsi="Symbol" w:cs="Symbol"/>
        </w:rPr>
        <w:t></w:t>
      </w:r>
      <w:r w:rsidRPr="0005690C">
        <w:rPr>
          <w:rFonts w:ascii="Times New Roman" w:hAnsi="Times New Roman" w:cs="Times New Roman"/>
        </w:rPr>
        <w:t>Student transfer to 4-year colleges/universities: 618 (annual; to UC &amp; CSU only)</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05690C">
        <w:rPr>
          <w:rFonts w:ascii="Symbol" w:hAnsi="Symbol" w:cs="Symbol"/>
        </w:rPr>
        <w:t></w:t>
      </w:r>
      <w:r w:rsidRPr="0005690C">
        <w:rPr>
          <w:rFonts w:ascii="Symbol" w:hAnsi="Symbol" w:cs="Symbol"/>
        </w:rPr>
        <w:t></w:t>
      </w:r>
      <w:r w:rsidRPr="0005690C">
        <w:rPr>
          <w:rFonts w:ascii="Times New Roman" w:hAnsi="Times New Roman" w:cs="Times New Roman"/>
        </w:rPr>
        <w:t>Student certificate completion: 260 (annual)</w:t>
      </w: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p>
    <w:p w:rsidR="00A26E78" w:rsidRPr="0005690C" w:rsidRDefault="00A26E78" w:rsidP="00A26E78">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440"/>
        <w:rPr>
          <w:rFonts w:ascii="Times New Roman" w:eastAsia="Times New Roman" w:hAnsi="Times New Roman" w:cs="Times New Roman"/>
        </w:rPr>
      </w:pPr>
      <w:r w:rsidRPr="0005690C">
        <w:rPr>
          <w:rFonts w:ascii="Times New Roman" w:hAnsi="Times New Roman" w:cs="Times New Roman"/>
        </w:rPr>
        <w:t xml:space="preserve">In addition, the college’s licensure examination pass rates for the Nursing and Respiratory Therapy </w:t>
      </w:r>
      <w:proofErr w:type="gramStart"/>
      <w:r w:rsidRPr="0005690C">
        <w:rPr>
          <w:rFonts w:ascii="Times New Roman" w:hAnsi="Times New Roman" w:cs="Times New Roman"/>
        </w:rPr>
        <w:t>Programs,</w:t>
      </w:r>
      <w:proofErr w:type="gramEnd"/>
      <w:r w:rsidRPr="0005690C">
        <w:rPr>
          <w:rFonts w:ascii="Times New Roman" w:hAnsi="Times New Roman" w:cs="Times New Roman"/>
        </w:rPr>
        <w:t xml:space="preserve"> are found on the College’s disclosure page along with job placement rates (three-year trends). The college monitors achievement data against these institutional set standards. Processes are in place wherein the PEPC identifies and reviews programs that fall below the ISS, making recommendations for improvement via a viability process. The team found evidence of institutional improvement based on these processes. (Standard I.B.2, I.B.3, ER 11)</w:t>
      </w:r>
    </w:p>
    <w:p w:rsidR="00A26E78" w:rsidRDefault="00A26E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26E78"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Cs/>
          <w:i/>
        </w:rPr>
      </w:pPr>
      <w:r w:rsidRPr="0005690C">
        <w:rPr>
          <w:rFonts w:ascii="Times New Roman" w:hAnsi="Times New Roman" w:cs="Times New Roman"/>
          <w:bCs/>
          <w:i/>
        </w:rPr>
        <w:lastRenderedPageBreak/>
        <w:t>Excerpt from the 2016</w:t>
      </w:r>
      <w:r w:rsidRPr="0005690C">
        <w:rPr>
          <w:rFonts w:ascii="Times New Roman" w:hAnsi="Times New Roman" w:cs="Times New Roman"/>
          <w:bCs/>
        </w:rPr>
        <w:t xml:space="preserve"> </w:t>
      </w:r>
      <w:r w:rsidRPr="0005690C">
        <w:rPr>
          <w:rFonts w:ascii="Times New Roman" w:hAnsi="Times New Roman" w:cs="Times New Roman"/>
          <w:bCs/>
          <w:i/>
        </w:rPr>
        <w:t>Exit Report</w:t>
      </w:r>
      <w:r>
        <w:rPr>
          <w:rFonts w:ascii="Times New Roman" w:hAnsi="Times New Roman" w:cs="Times New Roman"/>
          <w:bCs/>
          <w:i/>
        </w:rPr>
        <w:t>:</w:t>
      </w:r>
    </w:p>
    <w:p w:rsidR="00A26E78" w:rsidRPr="0005690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Cs/>
          <w:i/>
        </w:rPr>
      </w:pPr>
    </w:p>
    <w:p w:rsidR="00A26E78" w:rsidRPr="0005690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
          <w:bCs/>
        </w:rPr>
      </w:pPr>
      <w:r w:rsidRPr="0005690C">
        <w:rPr>
          <w:rFonts w:ascii="Times New Roman" w:hAnsi="Times New Roman" w:cs="Times New Roman"/>
          <w:b/>
          <w:bCs/>
        </w:rPr>
        <w:t>Checklist for Evaluating Compliance with Federal Regulations and Related Commission Policies</w:t>
      </w:r>
    </w:p>
    <w:p w:rsidR="00A26E78"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
          <w:bCs/>
        </w:rPr>
      </w:pPr>
      <w:r w:rsidRPr="00530A4C">
        <w:rPr>
          <w:rFonts w:ascii="Times New Roman" w:hAnsi="Times New Roman" w:cs="Times New Roman"/>
          <w:b/>
          <w:bCs/>
        </w:rPr>
        <w:t>Standards and Performance with Respect to Student Achievement Evaluation Items:</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
          <w:bCs/>
        </w:rPr>
      </w:pP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__x__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institution has defined elements of student achievement performance across the institution, and has identified the expected measure of performance within each defined element. Course completion is included as one of these elements of student achievement. Other elements of student achievement performance for measurement have been determined as appropriate to the institution’s mission.</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__x 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institution has defined elements of student achievement performance within each instructional program, and has identified the expected measure of performance within each defined element. The defined elements include, but are not limited to, job placement rates for program completers, and for programs in fields where licensure is required, the licensure examination passage rates for program completers.</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__x__ The institution-set standards for programs and across the institution are relevant to guide self-evaluation and institutional improvement; the defined elements and expected performance levels are appropriate within higher education; the results are reported regularly across the campus; and the definition of elements and results are used in program-level and institution-wide planning to evaluate how well the institution fulfills its mission, to determine needed changes, to allocating resources, and to make improvements.</w:t>
      </w:r>
    </w:p>
    <w:p w:rsidR="00A26E78"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__x__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institution analyzes its performance as to the institution-set standards and as to student achievement, and takes appropriate measures in areas where its performance is not at the expected level. [Regulation citations: 602.16(a</w:t>
      </w:r>
      <w:proofErr w:type="gramStart"/>
      <w:r w:rsidRPr="00530A4C">
        <w:rPr>
          <w:rFonts w:ascii="Times New Roman" w:hAnsi="Times New Roman" w:cs="Times New Roman"/>
        </w:rPr>
        <w:t>)(</w:t>
      </w:r>
      <w:proofErr w:type="gramEnd"/>
      <w:r w:rsidRPr="00530A4C">
        <w:rPr>
          <w:rFonts w:ascii="Times New Roman" w:hAnsi="Times New Roman" w:cs="Times New Roman"/>
        </w:rPr>
        <w:t>1)(i); 602.17(f); 602.19 (a-e).]</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
          <w:bCs/>
        </w:rPr>
      </w:pPr>
      <w:r w:rsidRPr="00530A4C">
        <w:rPr>
          <w:rFonts w:ascii="Times New Roman" w:hAnsi="Times New Roman" w:cs="Times New Roman"/>
          <w:b/>
          <w:bCs/>
        </w:rPr>
        <w:t>Conclusion Check-Off (mark one):</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__x__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team has reviewed the elements of this component and has found the institution to meet the Commission’s requirements.</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_____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team has reviewed the elements of this component and has found the institution to meet the Commission’s requirements, but that follow-up is recommended.</w:t>
      </w:r>
    </w:p>
    <w:p w:rsidR="00A26E78"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 xml:space="preserve">_____ </w:t>
      </w:r>
      <w:proofErr w:type="gramStart"/>
      <w:r w:rsidRPr="00530A4C">
        <w:rPr>
          <w:rFonts w:ascii="Times New Roman" w:hAnsi="Times New Roman" w:cs="Times New Roman"/>
        </w:rPr>
        <w:t>The</w:t>
      </w:r>
      <w:proofErr w:type="gramEnd"/>
      <w:r w:rsidRPr="00530A4C">
        <w:rPr>
          <w:rFonts w:ascii="Times New Roman" w:hAnsi="Times New Roman" w:cs="Times New Roman"/>
        </w:rPr>
        <w:t xml:space="preserve"> team has reviewed the elements of this component and found the institution does not meet the Commission’s requirements.</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b/>
          <w:bCs/>
        </w:rPr>
      </w:pPr>
      <w:r w:rsidRPr="00530A4C">
        <w:rPr>
          <w:rFonts w:ascii="Times New Roman" w:hAnsi="Times New Roman" w:cs="Times New Roman"/>
          <w:b/>
          <w:bCs/>
        </w:rPr>
        <w:t>Narrative:</w:t>
      </w:r>
    </w:p>
    <w:p w:rsidR="00A26E78" w:rsidRPr="00530A4C" w:rsidRDefault="00A26E78" w:rsidP="00A26E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0"/>
        <w:rPr>
          <w:rFonts w:ascii="Times New Roman" w:hAnsi="Times New Roman" w:cs="Times New Roman"/>
        </w:rPr>
      </w:pPr>
      <w:r w:rsidRPr="00530A4C">
        <w:rPr>
          <w:rFonts w:ascii="Times New Roman" w:hAnsi="Times New Roman" w:cs="Times New Roman"/>
        </w:rPr>
        <w:t>The College provided evidence that it has established institution-set standards in March 2013 for course completion, job placement rates for instructional programs, and licensure passage rates for instructional programs. Plans are in place for monitoring these student achievement measures and for communicating results.</w:t>
      </w:r>
    </w:p>
    <w:p w:rsidR="00941BD0" w:rsidRDefault="00941B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41BD0" w:rsidRDefault="00941BD0" w:rsidP="00A26E78">
      <w:pPr>
        <w:spacing w:after="0" w:line="240" w:lineRule="auto"/>
        <w:rPr>
          <w:rFonts w:ascii="Times New Roman" w:eastAsia="Times New Roman" w:hAnsi="Times New Roman" w:cs="Times New Roman"/>
          <w:sz w:val="24"/>
          <w:szCs w:val="24"/>
        </w:rPr>
        <w:sectPr w:rsidR="00941BD0" w:rsidSect="00A26E78">
          <w:footerReference w:type="default" r:id="rId14"/>
          <w:pgSz w:w="12240" w:h="15840"/>
          <w:pgMar w:top="1440" w:right="1440" w:bottom="1440" w:left="1440" w:header="720" w:footer="720" w:gutter="0"/>
          <w:cols w:space="720"/>
          <w:docGrid w:linePitch="360"/>
        </w:sectPr>
      </w:pPr>
    </w:p>
    <w:tbl>
      <w:tblPr>
        <w:tblStyle w:val="TableGrid"/>
        <w:tblW w:w="0" w:type="auto"/>
        <w:jc w:val="center"/>
        <w:tblInd w:w="-1782" w:type="dxa"/>
        <w:tblLayout w:type="fixed"/>
        <w:tblLook w:val="04A0" w:firstRow="1" w:lastRow="0" w:firstColumn="1" w:lastColumn="0" w:noHBand="0" w:noVBand="1"/>
      </w:tblPr>
      <w:tblGrid>
        <w:gridCol w:w="2120"/>
        <w:gridCol w:w="1350"/>
        <w:gridCol w:w="1350"/>
        <w:gridCol w:w="4770"/>
        <w:gridCol w:w="2929"/>
      </w:tblGrid>
      <w:tr w:rsidR="006857A0" w:rsidRPr="00E07E4C" w:rsidTr="00941BD0">
        <w:trPr>
          <w:jc w:val="center"/>
        </w:trPr>
        <w:tc>
          <w:tcPr>
            <w:tcW w:w="12519" w:type="dxa"/>
            <w:gridSpan w:val="5"/>
            <w:shd w:val="clear" w:color="auto" w:fill="92D050"/>
            <w:vAlign w:val="center"/>
          </w:tcPr>
          <w:p w:rsidR="006857A0" w:rsidRPr="00E07E4C" w:rsidRDefault="006857A0" w:rsidP="00E07E4C">
            <w:pPr>
              <w:tabs>
                <w:tab w:val="left" w:pos="8382"/>
              </w:tabs>
              <w:jc w:val="center"/>
              <w:rPr>
                <w:rFonts w:ascii="Times New Roman" w:eastAsia="Times New Roman" w:hAnsi="Times New Roman" w:cs="Times New Roman"/>
                <w:b/>
                <w:sz w:val="26"/>
                <w:szCs w:val="26"/>
              </w:rPr>
            </w:pPr>
            <w:r w:rsidRPr="00E07E4C">
              <w:rPr>
                <w:rFonts w:ascii="Times New Roman" w:eastAsia="Times New Roman" w:hAnsi="Times New Roman" w:cs="Times New Roman"/>
                <w:b/>
                <w:sz w:val="26"/>
                <w:szCs w:val="26"/>
              </w:rPr>
              <w:lastRenderedPageBreak/>
              <w:t>Institution-Set Standards</w:t>
            </w:r>
          </w:p>
        </w:tc>
      </w:tr>
      <w:tr w:rsidR="00CB0CD9" w:rsidRPr="00E07E4C" w:rsidTr="00CB0CD9">
        <w:trPr>
          <w:jc w:val="center"/>
        </w:trPr>
        <w:tc>
          <w:tcPr>
            <w:tcW w:w="2120" w:type="dxa"/>
            <w:vAlign w:val="center"/>
          </w:tcPr>
          <w:p w:rsidR="00E07E4C" w:rsidRPr="00CB0CD9" w:rsidRDefault="00E07E4C" w:rsidP="005B5386">
            <w:pPr>
              <w:tabs>
                <w:tab w:val="left" w:pos="8382"/>
              </w:tabs>
              <w:rPr>
                <w:rFonts w:ascii="Times New Roman" w:eastAsia="Times New Roman" w:hAnsi="Times New Roman" w:cs="Times New Roman"/>
                <w:b/>
                <w:sz w:val="24"/>
                <w:szCs w:val="24"/>
              </w:rPr>
            </w:pPr>
            <w:r w:rsidRPr="00CB0CD9">
              <w:rPr>
                <w:rFonts w:ascii="Times New Roman" w:eastAsia="Times New Roman" w:hAnsi="Times New Roman" w:cs="Times New Roman"/>
                <w:b/>
                <w:sz w:val="24"/>
                <w:szCs w:val="24"/>
              </w:rPr>
              <w:t>Indicator</w:t>
            </w:r>
          </w:p>
        </w:tc>
        <w:tc>
          <w:tcPr>
            <w:tcW w:w="1350" w:type="dxa"/>
            <w:vAlign w:val="center"/>
          </w:tcPr>
          <w:p w:rsidR="00E07E4C" w:rsidRPr="00E07E4C" w:rsidRDefault="00E07E4C" w:rsidP="00E07E4C">
            <w:pPr>
              <w:tabs>
                <w:tab w:val="left" w:pos="8382"/>
              </w:tabs>
              <w:jc w:val="center"/>
              <w:rPr>
                <w:rFonts w:ascii="Times New Roman" w:eastAsia="Times New Roman" w:hAnsi="Times New Roman" w:cs="Times New Roman"/>
                <w:b/>
                <w:sz w:val="24"/>
                <w:szCs w:val="24"/>
              </w:rPr>
            </w:pPr>
            <w:r w:rsidRPr="00E07E4C">
              <w:rPr>
                <w:rFonts w:ascii="Times New Roman" w:eastAsia="Times New Roman" w:hAnsi="Times New Roman" w:cs="Times New Roman"/>
                <w:b/>
                <w:sz w:val="24"/>
                <w:szCs w:val="24"/>
              </w:rPr>
              <w:t>2013 Standards</w:t>
            </w:r>
          </w:p>
        </w:tc>
        <w:tc>
          <w:tcPr>
            <w:tcW w:w="1350" w:type="dxa"/>
            <w:vAlign w:val="center"/>
          </w:tcPr>
          <w:p w:rsidR="00E07E4C" w:rsidRPr="00E07E4C" w:rsidRDefault="00E07E4C" w:rsidP="00E07E4C">
            <w:pPr>
              <w:tabs>
                <w:tab w:val="left" w:pos="8382"/>
              </w:tabs>
              <w:jc w:val="center"/>
              <w:rPr>
                <w:rFonts w:ascii="Times New Roman" w:eastAsia="Times New Roman" w:hAnsi="Times New Roman" w:cs="Times New Roman"/>
                <w:b/>
                <w:sz w:val="24"/>
                <w:szCs w:val="24"/>
              </w:rPr>
            </w:pPr>
            <w:r w:rsidRPr="00E07E4C">
              <w:rPr>
                <w:rFonts w:ascii="Times New Roman" w:eastAsia="Times New Roman" w:hAnsi="Times New Roman" w:cs="Times New Roman"/>
                <w:b/>
                <w:sz w:val="24"/>
                <w:szCs w:val="24"/>
              </w:rPr>
              <w:t>Proposed 2016 Standards</w:t>
            </w:r>
          </w:p>
        </w:tc>
        <w:tc>
          <w:tcPr>
            <w:tcW w:w="4770" w:type="dxa"/>
            <w:vAlign w:val="center"/>
          </w:tcPr>
          <w:p w:rsidR="00E07E4C" w:rsidRPr="00E07E4C" w:rsidRDefault="00E07E4C" w:rsidP="005B5386">
            <w:pPr>
              <w:tabs>
                <w:tab w:val="left" w:pos="8382"/>
              </w:tabs>
              <w:rPr>
                <w:rFonts w:ascii="Times New Roman" w:eastAsia="Times New Roman" w:hAnsi="Times New Roman" w:cs="Times New Roman"/>
                <w:b/>
                <w:sz w:val="24"/>
                <w:szCs w:val="24"/>
              </w:rPr>
            </w:pPr>
            <w:r w:rsidRPr="00E07E4C">
              <w:rPr>
                <w:rFonts w:ascii="Times New Roman" w:eastAsia="Times New Roman" w:hAnsi="Times New Roman" w:cs="Times New Roman"/>
                <w:b/>
                <w:sz w:val="24"/>
                <w:szCs w:val="24"/>
              </w:rPr>
              <w:t>Methodology/Notes</w:t>
            </w:r>
          </w:p>
        </w:tc>
        <w:tc>
          <w:tcPr>
            <w:tcW w:w="2929" w:type="dxa"/>
          </w:tcPr>
          <w:p w:rsidR="00E07E4C" w:rsidRPr="00E07E4C" w:rsidRDefault="00E07E4C" w:rsidP="005B5386">
            <w:pPr>
              <w:tabs>
                <w:tab w:val="left" w:pos="838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Trend</w:t>
            </w:r>
          </w:p>
        </w:tc>
      </w:tr>
      <w:tr w:rsidR="00CB0CD9" w:rsidRPr="006F4976" w:rsidTr="00CB0CD9">
        <w:trPr>
          <w:jc w:val="center"/>
        </w:trPr>
        <w:tc>
          <w:tcPr>
            <w:tcW w:w="2120" w:type="dxa"/>
            <w:vAlign w:val="center"/>
          </w:tcPr>
          <w:p w:rsid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 xml:space="preserve">Success </w:t>
            </w:r>
          </w:p>
          <w:p w:rsidR="00E07E4C" w:rsidRP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(Successful Course Completion)</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64%</w:t>
            </w:r>
          </w:p>
        </w:tc>
        <w:tc>
          <w:tcPr>
            <w:tcW w:w="1350" w:type="dxa"/>
            <w:vAlign w:val="center"/>
          </w:tcPr>
          <w:p w:rsidR="00E07E4C" w:rsidRPr="00CB0CD9" w:rsidRDefault="00CB0CD9" w:rsidP="00E07E4C">
            <w:pPr>
              <w:tabs>
                <w:tab w:val="left" w:pos="8382"/>
              </w:tabs>
              <w:jc w:val="center"/>
              <w:rPr>
                <w:rFonts w:ascii="Times New Roman" w:eastAsia="Times New Roman" w:hAnsi="Times New Roman" w:cs="Times New Roman"/>
              </w:rPr>
            </w:pPr>
            <w:r>
              <w:rPr>
                <w:rFonts w:ascii="Times New Roman" w:eastAsia="Times New Roman" w:hAnsi="Times New Roman" w:cs="Times New Roman"/>
              </w:rPr>
              <w:t>66</w:t>
            </w:r>
            <w:r w:rsidR="00E07E4C" w:rsidRPr="00CB0CD9">
              <w:rPr>
                <w:rFonts w:ascii="Times New Roman" w:eastAsia="Times New Roman" w:hAnsi="Times New Roman" w:cs="Times New Roman"/>
              </w:rPr>
              <w:t>%</w:t>
            </w:r>
          </w:p>
        </w:tc>
        <w:tc>
          <w:tcPr>
            <w:tcW w:w="4770" w:type="dxa"/>
            <w:vAlign w:val="center"/>
          </w:tcPr>
          <w:p w:rsidR="00E07E4C" w:rsidRPr="00CB0CD9" w:rsidRDefault="00CB0CD9" w:rsidP="005B5386">
            <w:pPr>
              <w:tabs>
                <w:tab w:val="left" w:pos="8382"/>
              </w:tabs>
              <w:rPr>
                <w:rFonts w:ascii="Times New Roman" w:eastAsia="Times New Roman" w:hAnsi="Times New Roman" w:cs="Times New Roman"/>
              </w:rPr>
            </w:pPr>
            <w:r>
              <w:rPr>
                <w:rFonts w:ascii="Times New Roman" w:eastAsia="Times New Roman" w:hAnsi="Times New Roman" w:cs="Times New Roman"/>
              </w:rPr>
              <w:t>95% of average (2006/07-2015/16)</w:t>
            </w:r>
          </w:p>
          <w:p w:rsidR="00E07E4C" w:rsidRPr="00CB0CD9" w:rsidRDefault="00E07E4C" w:rsidP="006857A0">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 xml:space="preserve">Students successfully completing a course </w:t>
            </w:r>
            <w:r w:rsidR="006857A0" w:rsidRPr="00CB0CD9">
              <w:rPr>
                <w:rFonts w:ascii="Times New Roman" w:eastAsia="Times New Roman" w:hAnsi="Times New Roman" w:cs="Times New Roman"/>
                <w:i/>
              </w:rPr>
              <w:t xml:space="preserve">with a passing grade </w:t>
            </w:r>
            <w:r w:rsidRPr="00CB0CD9">
              <w:rPr>
                <w:rFonts w:ascii="Times New Roman" w:eastAsia="Times New Roman" w:hAnsi="Times New Roman" w:cs="Times New Roman"/>
                <w:i/>
              </w:rPr>
              <w:t>(</w:t>
            </w:r>
            <w:r w:rsidR="006857A0" w:rsidRPr="00CB0CD9">
              <w:rPr>
                <w:rFonts w:ascii="Times New Roman" w:eastAsia="Times New Roman" w:hAnsi="Times New Roman" w:cs="Times New Roman"/>
                <w:i/>
              </w:rPr>
              <w:t>i.e.</w:t>
            </w:r>
            <w:r w:rsidRPr="00CB0CD9">
              <w:rPr>
                <w:rFonts w:ascii="Times New Roman" w:eastAsia="Times New Roman" w:hAnsi="Times New Roman" w:cs="Times New Roman"/>
                <w:i/>
              </w:rPr>
              <w:t xml:space="preserve"> A</w:t>
            </w:r>
            <w:proofErr w:type="gramStart"/>
            <w:r w:rsidRPr="00CB0CD9">
              <w:rPr>
                <w:rFonts w:ascii="Times New Roman" w:eastAsia="Times New Roman" w:hAnsi="Times New Roman" w:cs="Times New Roman"/>
                <w:i/>
              </w:rPr>
              <w:t>,B,C,P</w:t>
            </w:r>
            <w:proofErr w:type="gramEnd"/>
            <w:r w:rsidRPr="00CB0CD9">
              <w:rPr>
                <w:rFonts w:ascii="Times New Roman" w:eastAsia="Times New Roman" w:hAnsi="Times New Roman" w:cs="Times New Roman"/>
                <w:i/>
              </w:rPr>
              <w:t>).</w:t>
            </w:r>
          </w:p>
        </w:tc>
        <w:tc>
          <w:tcPr>
            <w:tcW w:w="2929" w:type="dxa"/>
          </w:tcPr>
          <w:p w:rsidR="00E07E4C" w:rsidRPr="002466E3" w:rsidRDefault="002466E3" w:rsidP="005B5386">
            <w:pPr>
              <w:tabs>
                <w:tab w:val="left" w:pos="8382"/>
              </w:tabs>
              <w:rPr>
                <w:rFonts w:ascii="Times New Roman" w:eastAsia="Times New Roman" w:hAnsi="Times New Roman" w:cs="Times New Roman"/>
                <w:i/>
              </w:rPr>
            </w:pPr>
            <w:r w:rsidRPr="002466E3">
              <w:rPr>
                <w:rFonts w:ascii="Times New Roman" w:eastAsia="Times New Roman" w:hAnsi="Times New Roman" w:cs="Times New Roman"/>
                <w:i/>
              </w:rPr>
              <w:t>Steady over the last 3 years, but down from the prior 3.</w:t>
            </w:r>
          </w:p>
        </w:tc>
      </w:tr>
      <w:tr w:rsidR="00CB0CD9" w:rsidRPr="006F4976" w:rsidTr="00CB0CD9">
        <w:trPr>
          <w:jc w:val="center"/>
        </w:trPr>
        <w:tc>
          <w:tcPr>
            <w:tcW w:w="2120" w:type="dxa"/>
            <w:vAlign w:val="center"/>
          </w:tcPr>
          <w:p w:rsid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 xml:space="preserve">Retention </w:t>
            </w:r>
          </w:p>
          <w:p w:rsidR="00E07E4C" w:rsidRP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 xml:space="preserve">(within course) </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84%</w:t>
            </w:r>
          </w:p>
        </w:tc>
        <w:tc>
          <w:tcPr>
            <w:tcW w:w="1350" w:type="dxa"/>
            <w:vAlign w:val="center"/>
          </w:tcPr>
          <w:p w:rsidR="00E07E4C" w:rsidRPr="00CB0CD9" w:rsidRDefault="00997A0E" w:rsidP="00E07E4C">
            <w:pPr>
              <w:tabs>
                <w:tab w:val="left" w:pos="8382"/>
              </w:tabs>
              <w:jc w:val="center"/>
              <w:rPr>
                <w:rFonts w:ascii="Times New Roman" w:eastAsia="Times New Roman" w:hAnsi="Times New Roman" w:cs="Times New Roman"/>
              </w:rPr>
            </w:pPr>
            <w:r>
              <w:rPr>
                <w:rFonts w:ascii="Times New Roman" w:eastAsia="Times New Roman" w:hAnsi="Times New Roman" w:cs="Times New Roman"/>
              </w:rPr>
              <w:t>84</w:t>
            </w:r>
            <w:r w:rsidR="00E07E4C" w:rsidRPr="00CB0CD9">
              <w:rPr>
                <w:rFonts w:ascii="Times New Roman" w:eastAsia="Times New Roman" w:hAnsi="Times New Roman" w:cs="Times New Roman"/>
              </w:rPr>
              <w:t>%</w:t>
            </w:r>
          </w:p>
        </w:tc>
        <w:tc>
          <w:tcPr>
            <w:tcW w:w="4770" w:type="dxa"/>
            <w:vAlign w:val="center"/>
          </w:tcPr>
          <w:p w:rsidR="00997A0E" w:rsidRDefault="00997A0E" w:rsidP="005B5386">
            <w:pPr>
              <w:tabs>
                <w:tab w:val="left" w:pos="8382"/>
              </w:tabs>
              <w:rPr>
                <w:rFonts w:ascii="Times New Roman" w:eastAsia="Times New Roman" w:hAnsi="Times New Roman" w:cs="Times New Roman"/>
                <w:i/>
              </w:rPr>
            </w:pPr>
            <w:r w:rsidRPr="00997A0E">
              <w:rPr>
                <w:rFonts w:ascii="Times New Roman" w:eastAsia="Times New Roman" w:hAnsi="Times New Roman" w:cs="Times New Roman"/>
                <w:i/>
                <w:highlight w:val="yellow"/>
              </w:rPr>
              <w:t>__</w:t>
            </w:r>
          </w:p>
          <w:p w:rsidR="00E07E4C" w:rsidRPr="00CB0CD9" w:rsidRDefault="00E07E4C" w:rsidP="005B5386">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Students completing a course (All grades except W).</w:t>
            </w:r>
          </w:p>
        </w:tc>
        <w:tc>
          <w:tcPr>
            <w:tcW w:w="2929" w:type="dxa"/>
          </w:tcPr>
          <w:p w:rsidR="00E07E4C" w:rsidRPr="00CB0CD9" w:rsidRDefault="00CB0CD9" w:rsidP="00CB0CD9">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 xml:space="preserve">Trending down for the last </w:t>
            </w:r>
            <w:r>
              <w:rPr>
                <w:rFonts w:ascii="Times New Roman" w:eastAsia="Times New Roman" w:hAnsi="Times New Roman" w:cs="Times New Roman"/>
                <w:i/>
              </w:rPr>
              <w:t>4</w:t>
            </w:r>
            <w:r w:rsidRPr="00CB0CD9">
              <w:rPr>
                <w:rFonts w:ascii="Times New Roman" w:eastAsia="Times New Roman" w:hAnsi="Times New Roman" w:cs="Times New Roman"/>
                <w:i/>
              </w:rPr>
              <w:t xml:space="preserve"> years.</w:t>
            </w:r>
          </w:p>
        </w:tc>
      </w:tr>
      <w:tr w:rsidR="00CB0CD9" w:rsidRPr="006F4976" w:rsidTr="00CB0CD9">
        <w:trPr>
          <w:jc w:val="center"/>
        </w:trPr>
        <w:tc>
          <w:tcPr>
            <w:tcW w:w="2120" w:type="dxa"/>
            <w:vAlign w:val="center"/>
          </w:tcPr>
          <w:p w:rsidR="00E07E4C" w:rsidRP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 xml:space="preserve">Persistence (Fall to Fall - New Students) </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41%</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43%</w:t>
            </w:r>
          </w:p>
        </w:tc>
        <w:tc>
          <w:tcPr>
            <w:tcW w:w="4770" w:type="dxa"/>
            <w:vAlign w:val="center"/>
          </w:tcPr>
          <w:p w:rsidR="006F4976" w:rsidRPr="00CB0CD9" w:rsidRDefault="006F4976" w:rsidP="00E07E4C">
            <w:pPr>
              <w:tabs>
                <w:tab w:val="left" w:pos="8382"/>
              </w:tabs>
              <w:rPr>
                <w:rFonts w:ascii="Times New Roman" w:eastAsia="Times New Roman" w:hAnsi="Times New Roman" w:cs="Times New Roman"/>
              </w:rPr>
            </w:pPr>
            <w:r w:rsidRPr="00CB0CD9">
              <w:rPr>
                <w:rFonts w:ascii="Times New Roman" w:eastAsia="Times New Roman" w:hAnsi="Times New Roman" w:cs="Times New Roman"/>
              </w:rPr>
              <w:t>95% of average (Fall 2006 - Fall 2014 cohorts)</w:t>
            </w:r>
          </w:p>
          <w:p w:rsidR="00E07E4C" w:rsidRPr="00CB0CD9" w:rsidRDefault="00E07E4C" w:rsidP="00E07E4C">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New students (first-time beginners) earning a grade in the first fall term and re-enrolling and earning a grade in the subsequent fall term.</w:t>
            </w:r>
          </w:p>
          <w:p w:rsidR="006F4976" w:rsidRPr="00CB0CD9" w:rsidRDefault="006F4976" w:rsidP="00E07E4C">
            <w:pPr>
              <w:tabs>
                <w:tab w:val="left" w:pos="8382"/>
              </w:tabs>
              <w:rPr>
                <w:rFonts w:ascii="Times New Roman" w:eastAsia="Times New Roman" w:hAnsi="Times New Roman" w:cs="Times New Roman"/>
                <w:i/>
                <w:sz w:val="12"/>
                <w:szCs w:val="12"/>
              </w:rPr>
            </w:pPr>
          </w:p>
          <w:p w:rsidR="006F4976" w:rsidRPr="00CB0CD9" w:rsidRDefault="006F4976" w:rsidP="00E07E4C">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 xml:space="preserve">**Consider focus on new </w:t>
            </w:r>
            <w:proofErr w:type="gramStart"/>
            <w:r w:rsidRPr="00CB0CD9">
              <w:rPr>
                <w:rFonts w:ascii="Times New Roman" w:eastAsia="Times New Roman" w:hAnsi="Times New Roman" w:cs="Times New Roman"/>
                <w:i/>
              </w:rPr>
              <w:t>students</w:t>
            </w:r>
            <w:proofErr w:type="gramEnd"/>
            <w:r w:rsidRPr="00CB0CD9">
              <w:rPr>
                <w:rFonts w:ascii="Times New Roman" w:eastAsia="Times New Roman" w:hAnsi="Times New Roman" w:cs="Times New Roman"/>
                <w:i/>
              </w:rPr>
              <w:t xml:space="preserve"> e.g.LA Promise, Equity, SSSP.</w:t>
            </w:r>
          </w:p>
        </w:tc>
        <w:tc>
          <w:tcPr>
            <w:tcW w:w="2929" w:type="dxa"/>
          </w:tcPr>
          <w:p w:rsidR="00E07E4C" w:rsidRPr="00CB0CD9" w:rsidRDefault="006F4976" w:rsidP="006F4976">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Peaked at 49% in 2011cohort. After dip in 2012, trending up in the 2 most recent years.</w:t>
            </w:r>
          </w:p>
        </w:tc>
      </w:tr>
      <w:tr w:rsidR="00CB0CD9" w:rsidRPr="006F4976" w:rsidTr="00CB0CD9">
        <w:trPr>
          <w:jc w:val="center"/>
        </w:trPr>
        <w:tc>
          <w:tcPr>
            <w:tcW w:w="2120" w:type="dxa"/>
            <w:vAlign w:val="center"/>
          </w:tcPr>
          <w:p w:rsidR="00E07E4C" w:rsidRP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Degree Awards (AA, AS, AT, ST) - (count)</w:t>
            </w:r>
          </w:p>
        </w:tc>
        <w:tc>
          <w:tcPr>
            <w:tcW w:w="1350" w:type="dxa"/>
            <w:vAlign w:val="center"/>
          </w:tcPr>
          <w:p w:rsidR="00E07E4C" w:rsidRPr="00CB0CD9" w:rsidRDefault="00DA0CA1" w:rsidP="00DA0CA1">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722</w:t>
            </w:r>
          </w:p>
        </w:tc>
        <w:tc>
          <w:tcPr>
            <w:tcW w:w="1350" w:type="dxa"/>
            <w:vAlign w:val="center"/>
          </w:tcPr>
          <w:p w:rsidR="00E07E4C" w:rsidRPr="00CB0CD9" w:rsidRDefault="00E07E4C" w:rsidP="002C0F04">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7</w:t>
            </w:r>
            <w:r w:rsidR="002C0F04" w:rsidRPr="00CB0CD9">
              <w:rPr>
                <w:rFonts w:ascii="Times New Roman" w:eastAsia="Times New Roman" w:hAnsi="Times New Roman" w:cs="Times New Roman"/>
              </w:rPr>
              <w:t>88</w:t>
            </w:r>
          </w:p>
        </w:tc>
        <w:tc>
          <w:tcPr>
            <w:tcW w:w="4770" w:type="dxa"/>
            <w:vAlign w:val="center"/>
          </w:tcPr>
          <w:p w:rsidR="00E07E4C" w:rsidRPr="00CB0CD9" w:rsidRDefault="00E07E4C" w:rsidP="006F4976">
            <w:pPr>
              <w:tabs>
                <w:tab w:val="left" w:pos="8382"/>
              </w:tabs>
              <w:rPr>
                <w:rFonts w:ascii="Times New Roman" w:eastAsia="Times New Roman" w:hAnsi="Times New Roman" w:cs="Times New Roman"/>
              </w:rPr>
            </w:pPr>
            <w:r w:rsidRPr="00CB0CD9">
              <w:rPr>
                <w:rFonts w:ascii="Times New Roman" w:eastAsia="Times New Roman" w:hAnsi="Times New Roman" w:cs="Times New Roman"/>
              </w:rPr>
              <w:t xml:space="preserve">95% of average </w:t>
            </w:r>
            <w:r w:rsidR="006F4976" w:rsidRPr="00CB0CD9">
              <w:rPr>
                <w:rFonts w:ascii="Times New Roman" w:eastAsia="Times New Roman" w:hAnsi="Times New Roman" w:cs="Times New Roman"/>
              </w:rPr>
              <w:t>(</w:t>
            </w:r>
            <w:r w:rsidRPr="00CB0CD9">
              <w:rPr>
                <w:rFonts w:ascii="Times New Roman" w:eastAsia="Times New Roman" w:hAnsi="Times New Roman" w:cs="Times New Roman"/>
              </w:rPr>
              <w:t>based on 2009/10-2015/16</w:t>
            </w:r>
            <w:r w:rsidR="006F4976" w:rsidRPr="00CB0CD9">
              <w:rPr>
                <w:rFonts w:ascii="Times New Roman" w:eastAsia="Times New Roman" w:hAnsi="Times New Roman" w:cs="Times New Roman"/>
              </w:rPr>
              <w:t>)</w:t>
            </w:r>
          </w:p>
        </w:tc>
        <w:tc>
          <w:tcPr>
            <w:tcW w:w="2929" w:type="dxa"/>
          </w:tcPr>
          <w:p w:rsidR="00E07E4C" w:rsidRPr="002466E3" w:rsidRDefault="002466E3" w:rsidP="002466E3">
            <w:pPr>
              <w:tabs>
                <w:tab w:val="left" w:pos="8382"/>
              </w:tabs>
              <w:rPr>
                <w:rFonts w:ascii="Times New Roman" w:eastAsia="Times New Roman" w:hAnsi="Times New Roman" w:cs="Times New Roman"/>
                <w:i/>
              </w:rPr>
            </w:pPr>
            <w:r w:rsidRPr="002466E3">
              <w:rPr>
                <w:rFonts w:ascii="Times New Roman" w:eastAsia="Times New Roman" w:hAnsi="Times New Roman" w:cs="Times New Roman"/>
                <w:i/>
              </w:rPr>
              <w:t xml:space="preserve">Trending up in the last 3 years after </w:t>
            </w:r>
            <w:r>
              <w:rPr>
                <w:rFonts w:ascii="Times New Roman" w:eastAsia="Times New Roman" w:hAnsi="Times New Roman" w:cs="Times New Roman"/>
                <w:i/>
              </w:rPr>
              <w:t xml:space="preserve">trending downward in the prior 4 years hitting a low in </w:t>
            </w:r>
            <w:r w:rsidRPr="002466E3">
              <w:rPr>
                <w:rFonts w:ascii="Times New Roman" w:eastAsia="Times New Roman" w:hAnsi="Times New Roman" w:cs="Times New Roman"/>
                <w:i/>
              </w:rPr>
              <w:t>2012-2013.</w:t>
            </w:r>
          </w:p>
        </w:tc>
      </w:tr>
      <w:tr w:rsidR="00CB0CD9" w:rsidRPr="006F4976" w:rsidTr="00CB0CD9">
        <w:trPr>
          <w:jc w:val="center"/>
        </w:trPr>
        <w:tc>
          <w:tcPr>
            <w:tcW w:w="2120" w:type="dxa"/>
            <w:vAlign w:val="center"/>
          </w:tcPr>
          <w:p w:rsidR="00E07E4C" w:rsidRPr="00CB0CD9" w:rsidRDefault="00E07E4C" w:rsidP="00E07E4C">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Certificate Awards (CA) (count)</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260*</w:t>
            </w:r>
          </w:p>
        </w:tc>
        <w:tc>
          <w:tcPr>
            <w:tcW w:w="1350" w:type="dxa"/>
            <w:vAlign w:val="center"/>
          </w:tcPr>
          <w:p w:rsidR="00E07E4C" w:rsidRPr="00CB0CD9" w:rsidRDefault="00E07E4C"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690</w:t>
            </w:r>
          </w:p>
        </w:tc>
        <w:tc>
          <w:tcPr>
            <w:tcW w:w="4770" w:type="dxa"/>
            <w:vAlign w:val="center"/>
          </w:tcPr>
          <w:p w:rsidR="00E07E4C" w:rsidRPr="00CB0CD9" w:rsidRDefault="00E07E4C" w:rsidP="005B5386">
            <w:pPr>
              <w:tabs>
                <w:tab w:val="left" w:pos="8382"/>
              </w:tabs>
              <w:rPr>
                <w:rFonts w:ascii="Times New Roman" w:eastAsia="Times New Roman" w:hAnsi="Times New Roman" w:cs="Times New Roman"/>
              </w:rPr>
            </w:pPr>
            <w:r w:rsidRPr="00CB0CD9">
              <w:rPr>
                <w:rFonts w:ascii="Times New Roman" w:eastAsia="Times New Roman" w:hAnsi="Times New Roman" w:cs="Times New Roman"/>
              </w:rPr>
              <w:t xml:space="preserve">95% of average </w:t>
            </w:r>
            <w:r w:rsidR="006F4976" w:rsidRPr="00CB0CD9">
              <w:rPr>
                <w:rFonts w:ascii="Times New Roman" w:eastAsia="Times New Roman" w:hAnsi="Times New Roman" w:cs="Times New Roman"/>
              </w:rPr>
              <w:t>(</w:t>
            </w:r>
            <w:r w:rsidRPr="00CB0CD9">
              <w:rPr>
                <w:rFonts w:ascii="Times New Roman" w:eastAsia="Times New Roman" w:hAnsi="Times New Roman" w:cs="Times New Roman"/>
              </w:rPr>
              <w:t>based on 2009/10-2014/15</w:t>
            </w:r>
            <w:r w:rsidR="006F4976" w:rsidRPr="00CB0CD9">
              <w:rPr>
                <w:rFonts w:ascii="Times New Roman" w:eastAsia="Times New Roman" w:hAnsi="Times New Roman" w:cs="Times New Roman"/>
              </w:rPr>
              <w:t>)</w:t>
            </w:r>
          </w:p>
          <w:p w:rsidR="008E2B61" w:rsidRPr="00CB0CD9" w:rsidRDefault="00E07E4C" w:rsidP="00E07E4C">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w:t>
            </w:r>
            <w:r w:rsidR="008E2B61" w:rsidRPr="00CB0CD9">
              <w:rPr>
                <w:rFonts w:ascii="Times New Roman" w:eastAsia="Times New Roman" w:hAnsi="Times New Roman" w:cs="Times New Roman"/>
                <w:i/>
              </w:rPr>
              <w:t xml:space="preserve"> Most recent cohort was excluded since value was an outlier</w:t>
            </w:r>
            <w:r w:rsidR="002466E3">
              <w:rPr>
                <w:rFonts w:ascii="Times New Roman" w:eastAsia="Times New Roman" w:hAnsi="Times New Roman" w:cs="Times New Roman"/>
                <w:i/>
              </w:rPr>
              <w:t>.</w:t>
            </w:r>
          </w:p>
          <w:p w:rsidR="008E2B61" w:rsidRPr="00CB0CD9" w:rsidRDefault="008E2B61" w:rsidP="00E07E4C">
            <w:pPr>
              <w:tabs>
                <w:tab w:val="left" w:pos="8382"/>
              </w:tabs>
              <w:rPr>
                <w:rFonts w:ascii="Times New Roman" w:eastAsia="Times New Roman" w:hAnsi="Times New Roman" w:cs="Times New Roman"/>
                <w:i/>
                <w:sz w:val="12"/>
                <w:szCs w:val="12"/>
              </w:rPr>
            </w:pPr>
          </w:p>
          <w:p w:rsidR="00E07E4C" w:rsidRPr="00CB0CD9" w:rsidRDefault="00E07E4C" w:rsidP="00E07E4C">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The prior standard was set low based on the available data and low numbers of certificates of achievement. Several programs changed from Skills Certificates to certificates of achievement in 2009-10 academic year</w:t>
            </w:r>
            <w:r w:rsidR="00A26E78" w:rsidRPr="00CB0CD9">
              <w:rPr>
                <w:rFonts w:ascii="Times New Roman" w:eastAsia="Times New Roman" w:hAnsi="Times New Roman" w:cs="Times New Roman"/>
                <w:i/>
              </w:rPr>
              <w:t>s</w:t>
            </w:r>
            <w:r w:rsidRPr="00CB0CD9">
              <w:rPr>
                <w:rFonts w:ascii="Times New Roman" w:eastAsia="Times New Roman" w:hAnsi="Times New Roman" w:cs="Times New Roman"/>
                <w:i/>
              </w:rPr>
              <w:t>, thus increasing the number of awards in this category.</w:t>
            </w:r>
          </w:p>
        </w:tc>
        <w:tc>
          <w:tcPr>
            <w:tcW w:w="2929" w:type="dxa"/>
          </w:tcPr>
          <w:p w:rsidR="008E2B61" w:rsidRPr="00CB0CD9" w:rsidRDefault="002C0F04" w:rsidP="008E2B61">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Trending up since 2012-2013.</w:t>
            </w:r>
          </w:p>
          <w:p w:rsidR="002C0F04" w:rsidRPr="00CB0CD9" w:rsidRDefault="002466E3" w:rsidP="002466E3">
            <w:pPr>
              <w:tabs>
                <w:tab w:val="left" w:pos="8382"/>
              </w:tabs>
              <w:rPr>
                <w:rFonts w:ascii="Times New Roman" w:eastAsia="Times New Roman" w:hAnsi="Times New Roman" w:cs="Times New Roman"/>
                <w:i/>
              </w:rPr>
            </w:pPr>
            <w:r>
              <w:rPr>
                <w:rFonts w:ascii="Times New Roman" w:eastAsia="Times New Roman" w:hAnsi="Times New Roman" w:cs="Times New Roman"/>
                <w:i/>
              </w:rPr>
              <w:t>Most recent increase (58% in 2015-16) is not expected to continue at that level.</w:t>
            </w:r>
          </w:p>
        </w:tc>
      </w:tr>
      <w:tr w:rsidR="00CB0CD9" w:rsidRPr="006F4976" w:rsidTr="00CB0CD9">
        <w:trPr>
          <w:jc w:val="center"/>
        </w:trPr>
        <w:tc>
          <w:tcPr>
            <w:tcW w:w="2120" w:type="dxa"/>
          </w:tcPr>
          <w:p w:rsidR="00E07E4C" w:rsidRPr="00CB0CD9" w:rsidRDefault="00E07E4C" w:rsidP="005B5386">
            <w:pPr>
              <w:tabs>
                <w:tab w:val="left" w:pos="8382"/>
              </w:tabs>
              <w:rPr>
                <w:rFonts w:ascii="Times New Roman" w:eastAsia="Times New Roman" w:hAnsi="Times New Roman" w:cs="Times New Roman"/>
                <w:b/>
              </w:rPr>
            </w:pPr>
            <w:r w:rsidRPr="00CB0CD9">
              <w:rPr>
                <w:rFonts w:ascii="Times New Roman" w:eastAsia="Times New Roman" w:hAnsi="Times New Roman" w:cs="Times New Roman"/>
                <w:b/>
              </w:rPr>
              <w:t>UC &amp; CSU Transfer</w:t>
            </w:r>
          </w:p>
        </w:tc>
        <w:tc>
          <w:tcPr>
            <w:tcW w:w="1350" w:type="dxa"/>
          </w:tcPr>
          <w:p w:rsidR="00E07E4C" w:rsidRPr="00CB0CD9" w:rsidRDefault="00DA0CA1"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618</w:t>
            </w:r>
          </w:p>
        </w:tc>
        <w:tc>
          <w:tcPr>
            <w:tcW w:w="1350" w:type="dxa"/>
          </w:tcPr>
          <w:p w:rsidR="00E07E4C" w:rsidRPr="00CB0CD9" w:rsidRDefault="00941BD0" w:rsidP="00E07E4C">
            <w:pPr>
              <w:tabs>
                <w:tab w:val="left" w:pos="8382"/>
              </w:tabs>
              <w:jc w:val="center"/>
              <w:rPr>
                <w:rFonts w:ascii="Times New Roman" w:eastAsia="Times New Roman" w:hAnsi="Times New Roman" w:cs="Times New Roman"/>
              </w:rPr>
            </w:pPr>
            <w:r w:rsidRPr="00CB0CD9">
              <w:rPr>
                <w:rFonts w:ascii="Times New Roman" w:eastAsia="Times New Roman" w:hAnsi="Times New Roman" w:cs="Times New Roman"/>
              </w:rPr>
              <w:t>702</w:t>
            </w:r>
          </w:p>
        </w:tc>
        <w:tc>
          <w:tcPr>
            <w:tcW w:w="4770" w:type="dxa"/>
          </w:tcPr>
          <w:p w:rsidR="00E07E4C" w:rsidRDefault="00941BD0" w:rsidP="005B5386">
            <w:pPr>
              <w:tabs>
                <w:tab w:val="left" w:pos="8382"/>
              </w:tabs>
              <w:rPr>
                <w:rFonts w:ascii="Times New Roman" w:eastAsia="Times New Roman" w:hAnsi="Times New Roman" w:cs="Times New Roman"/>
              </w:rPr>
            </w:pPr>
            <w:r w:rsidRPr="00CB0CD9">
              <w:rPr>
                <w:rFonts w:ascii="Times New Roman" w:eastAsia="Times New Roman" w:hAnsi="Times New Roman" w:cs="Times New Roman"/>
              </w:rPr>
              <w:t>95% of Average</w:t>
            </w:r>
          </w:p>
          <w:p w:rsidR="00CB0CD9" w:rsidRPr="00CB0CD9" w:rsidRDefault="00CB0CD9" w:rsidP="005B5386">
            <w:pPr>
              <w:tabs>
                <w:tab w:val="left" w:pos="8382"/>
              </w:tabs>
              <w:rPr>
                <w:rFonts w:ascii="Times New Roman" w:eastAsia="Times New Roman" w:hAnsi="Times New Roman" w:cs="Times New Roman"/>
                <w:sz w:val="12"/>
                <w:szCs w:val="12"/>
              </w:rPr>
            </w:pPr>
          </w:p>
          <w:p w:rsidR="00941BD0" w:rsidRPr="00CB0CD9" w:rsidRDefault="00941BD0" w:rsidP="005B5386">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Prior standard based on data that included years with reporting anomalies.</w:t>
            </w:r>
          </w:p>
        </w:tc>
        <w:tc>
          <w:tcPr>
            <w:tcW w:w="2929" w:type="dxa"/>
          </w:tcPr>
          <w:p w:rsidR="00E07E4C" w:rsidRPr="00CB0CD9" w:rsidRDefault="007F0F80" w:rsidP="005B5386">
            <w:pPr>
              <w:tabs>
                <w:tab w:val="left" w:pos="8382"/>
              </w:tabs>
              <w:rPr>
                <w:rFonts w:ascii="Times New Roman" w:eastAsia="Times New Roman" w:hAnsi="Times New Roman" w:cs="Times New Roman"/>
                <w:i/>
              </w:rPr>
            </w:pPr>
            <w:r w:rsidRPr="00CB0CD9">
              <w:rPr>
                <w:rFonts w:ascii="Times New Roman" w:eastAsia="Times New Roman" w:hAnsi="Times New Roman" w:cs="Times New Roman"/>
                <w:i/>
              </w:rPr>
              <w:t>CSU Transfers trending up in 3 most recent years. UC Transfers have fluctuated over the period and is down in the most recent year.</w:t>
            </w:r>
          </w:p>
        </w:tc>
      </w:tr>
    </w:tbl>
    <w:p w:rsidR="00A26E78" w:rsidRDefault="00A26E78" w:rsidP="00CB0CD9">
      <w:pPr>
        <w:rPr>
          <w:rFonts w:ascii="Times New Roman" w:eastAsia="Times New Roman" w:hAnsi="Times New Roman" w:cs="Times New Roman"/>
          <w:sz w:val="24"/>
          <w:szCs w:val="24"/>
        </w:rPr>
        <w:sectPr w:rsidR="00A26E78" w:rsidSect="00941BD0">
          <w:pgSz w:w="15840" w:h="12240" w:orient="landscape"/>
          <w:pgMar w:top="1440" w:right="1440" w:bottom="1440" w:left="1440" w:header="720" w:footer="720" w:gutter="0"/>
          <w:cols w:space="720"/>
          <w:docGrid w:linePitch="360"/>
        </w:sectPr>
      </w:pPr>
    </w:p>
    <w:p w:rsidR="00E07E4C" w:rsidRPr="00CB0CD9" w:rsidRDefault="004716EC" w:rsidP="005B5386">
      <w:pPr>
        <w:tabs>
          <w:tab w:val="left" w:pos="8382"/>
        </w:tabs>
        <w:spacing w:after="0" w:line="240" w:lineRule="auto"/>
        <w:rPr>
          <w:rFonts w:ascii="Times New Roman" w:eastAsia="Times New Roman" w:hAnsi="Times New Roman" w:cs="Times New Roman"/>
          <w:b/>
          <w:sz w:val="24"/>
          <w:szCs w:val="24"/>
        </w:rPr>
      </w:pPr>
      <w:r w:rsidRPr="00CB0CD9">
        <w:rPr>
          <w:rFonts w:ascii="Times New Roman" w:eastAsia="Times New Roman" w:hAnsi="Times New Roman" w:cs="Times New Roman"/>
          <w:b/>
          <w:sz w:val="24"/>
          <w:szCs w:val="24"/>
        </w:rPr>
        <w:lastRenderedPageBreak/>
        <w:t>Referenced Data:</w:t>
      </w:r>
    </w:p>
    <w:p w:rsidR="00187BFB" w:rsidRDefault="00D25E11" w:rsidP="00EE1C06">
      <w:pPr>
        <w:tabs>
          <w:tab w:val="left" w:pos="838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6509" w:dyaOrig="3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4.3pt;height:2in" o:ole="">
            <v:imagedata r:id="rId15" o:title=""/>
          </v:shape>
          <o:OLEObject Type="Link" ProgID="Excel.Sheet.12" ShapeID="_x0000_i1030" DrawAspect="Content" r:id="rId16" UpdateMode="Always">
            <o:LinkType>EnhancedMetaFile</o:LinkType>
            <o:LockedField>false</o:LockedField>
          </o:OLEObject>
        </w:object>
      </w:r>
    </w:p>
    <w:p w:rsidR="00941BD0" w:rsidRDefault="00941BD0" w:rsidP="00EE1C06">
      <w:pPr>
        <w:tabs>
          <w:tab w:val="left" w:pos="8382"/>
        </w:tabs>
        <w:spacing w:after="0" w:line="240" w:lineRule="auto"/>
        <w:jc w:val="center"/>
        <w:rPr>
          <w:rFonts w:ascii="Times New Roman" w:eastAsia="Times New Roman" w:hAnsi="Times New Roman" w:cs="Times New Roman"/>
          <w:sz w:val="24"/>
          <w:szCs w:val="24"/>
        </w:rPr>
      </w:pPr>
    </w:p>
    <w:bookmarkStart w:id="0" w:name="_GoBack"/>
    <w:p w:rsidR="006F4976" w:rsidRDefault="00D25E11" w:rsidP="005B5386">
      <w:pPr>
        <w:tabs>
          <w:tab w:val="left" w:pos="83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772" w:dyaOrig="5558">
          <v:shape id="_x0000_i1042" type="#_x0000_t75" style="width:653.55pt;height:222.15pt" o:ole="">
            <v:imagedata r:id="rId17" o:title=""/>
          </v:shape>
          <o:OLEObject Type="Link" ProgID="Excel.Sheet.12" ShapeID="_x0000_i1042" DrawAspect="Content" r:id="rId18" UpdateMode="Always">
            <o:LinkType>EnhancedMetaFile</o:LinkType>
            <o:LockedField>false</o:LockedField>
          </o:OLEObject>
        </w:object>
      </w:r>
      <w:bookmarkEnd w:id="0"/>
    </w:p>
    <w:p w:rsidR="006F4976" w:rsidRDefault="006F4976" w:rsidP="00EE1C06">
      <w:pPr>
        <w:tabs>
          <w:tab w:val="left" w:pos="8382"/>
        </w:tabs>
        <w:spacing w:after="0" w:line="240" w:lineRule="auto"/>
        <w:jc w:val="center"/>
        <w:rPr>
          <w:rFonts w:ascii="Times New Roman" w:eastAsia="Times New Roman" w:hAnsi="Times New Roman" w:cs="Times New Roman"/>
          <w:sz w:val="24"/>
          <w:szCs w:val="24"/>
        </w:rPr>
      </w:pPr>
    </w:p>
    <w:p w:rsidR="00CB0CD9" w:rsidRPr="00CB0CD9" w:rsidRDefault="00CB0CD9" w:rsidP="00CB0CD9">
      <w:pPr>
        <w:tabs>
          <w:tab w:val="left" w:pos="8382"/>
        </w:tabs>
        <w:spacing w:after="0" w:line="240" w:lineRule="auto"/>
        <w:rPr>
          <w:rFonts w:ascii="Times New Roman" w:eastAsia="Times New Roman" w:hAnsi="Times New Roman" w:cs="Times New Roman"/>
          <w:sz w:val="20"/>
          <w:szCs w:val="20"/>
        </w:rPr>
      </w:pPr>
      <w:r w:rsidRPr="00CB0CD9">
        <w:rPr>
          <w:rFonts w:ascii="Times New Roman" w:eastAsia="Times New Roman" w:hAnsi="Times New Roman" w:cs="Times New Roman"/>
          <w:sz w:val="20"/>
          <w:szCs w:val="20"/>
        </w:rPr>
        <w:t xml:space="preserve">Success &amp; Retention Interactive File: </w:t>
      </w:r>
      <w:hyperlink r:id="rId19" w:history="1">
        <w:r w:rsidRPr="00CB0CD9">
          <w:rPr>
            <w:rStyle w:val="Hyperlink"/>
            <w:rFonts w:ascii="Times New Roman" w:eastAsia="Times New Roman" w:hAnsi="Times New Roman" w:cs="Times New Roman"/>
            <w:sz w:val="20"/>
            <w:szCs w:val="20"/>
          </w:rPr>
          <w:t>https://public.tableau.com/views/LAVC10YearEnrollmentSuccessRetentionData2006-16_0/ISSDeptbyAY?:embed=y&amp;:display_count=yes</w:t>
        </w:r>
      </w:hyperlink>
    </w:p>
    <w:p w:rsidR="00CB0CD9" w:rsidRPr="00CB0CD9" w:rsidRDefault="00CB0CD9" w:rsidP="00CB0CD9">
      <w:pPr>
        <w:tabs>
          <w:tab w:val="left" w:pos="8382"/>
        </w:tabs>
        <w:spacing w:after="0" w:line="240" w:lineRule="auto"/>
        <w:rPr>
          <w:rFonts w:ascii="Times New Roman" w:eastAsia="Times New Roman" w:hAnsi="Times New Roman" w:cs="Times New Roman"/>
          <w:sz w:val="20"/>
          <w:szCs w:val="20"/>
        </w:rPr>
      </w:pPr>
    </w:p>
    <w:p w:rsidR="00CB0CD9" w:rsidRPr="00CB0CD9" w:rsidRDefault="00CB0CD9" w:rsidP="00CB0CD9">
      <w:pPr>
        <w:tabs>
          <w:tab w:val="left" w:pos="8382"/>
        </w:tabs>
        <w:spacing w:after="0" w:line="240" w:lineRule="auto"/>
        <w:rPr>
          <w:rFonts w:ascii="Times New Roman" w:eastAsia="Times New Roman" w:hAnsi="Times New Roman" w:cs="Times New Roman"/>
          <w:sz w:val="20"/>
          <w:szCs w:val="20"/>
        </w:rPr>
      </w:pPr>
      <w:proofErr w:type="gramStart"/>
      <w:r w:rsidRPr="00CB0CD9">
        <w:rPr>
          <w:rFonts w:ascii="Times New Roman" w:eastAsia="Times New Roman" w:hAnsi="Times New Roman" w:cs="Times New Roman"/>
          <w:sz w:val="20"/>
          <w:szCs w:val="20"/>
        </w:rPr>
        <w:t>Student enrollment and achievement data extracted from DEC SIS on 11/8/16 and subject to changes thereafter.</w:t>
      </w:r>
      <w:proofErr w:type="gramEnd"/>
    </w:p>
    <w:p w:rsidR="007F0F80" w:rsidRDefault="00D25E11" w:rsidP="005B5386">
      <w:pPr>
        <w:tabs>
          <w:tab w:val="left" w:pos="83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8081" w:dyaOrig="5107">
          <v:shape id="_x0000_i1034" type="#_x0000_t75" style="width:675.1pt;height:172.3pt" o:ole="">
            <v:imagedata r:id="rId20" o:title=""/>
          </v:shape>
          <o:OLEObject Type="Link" ProgID="Excel.Sheet.12" ShapeID="_x0000_i1034" DrawAspect="Content" r:id="rId21" UpdateMode="Always">
            <o:LinkType>EnhancedMetaFile</o:LinkType>
            <o:LockedField>false</o:LockedField>
          </o:OLEObject>
        </w:object>
      </w:r>
    </w:p>
    <w:p w:rsidR="00CB0CD9" w:rsidRDefault="00CB0CD9" w:rsidP="005B5386">
      <w:pPr>
        <w:tabs>
          <w:tab w:val="left" w:pos="8382"/>
        </w:tabs>
        <w:spacing w:after="0" w:line="240" w:lineRule="auto"/>
        <w:rPr>
          <w:rFonts w:ascii="Times New Roman" w:eastAsia="Times New Roman" w:hAnsi="Times New Roman" w:cs="Times New Roman"/>
          <w:sz w:val="24"/>
          <w:szCs w:val="24"/>
        </w:rPr>
      </w:pPr>
    </w:p>
    <w:p w:rsidR="00941BD0" w:rsidRDefault="00D25E11" w:rsidP="005B5386">
      <w:pPr>
        <w:tabs>
          <w:tab w:val="left" w:pos="83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6665" w:dyaOrig="3599">
          <v:shape id="_x0000_i1036" type="#_x0000_t75" style="width:678.15pt;height:132.3pt" o:ole="">
            <v:imagedata r:id="rId22" o:title=""/>
          </v:shape>
          <o:OLEObject Type="Link" ProgID="Excel.Sheet.12" ShapeID="_x0000_i1036" DrawAspect="Content" r:id="rId23" UpdateMode="Always">
            <o:LinkType>EnhancedMetaFile</o:LinkType>
            <o:LockedField>false</o:LockedField>
          </o:OLEObject>
        </w:object>
      </w:r>
    </w:p>
    <w:tbl>
      <w:tblPr>
        <w:tblW w:w="13425" w:type="dxa"/>
        <w:tblInd w:w="93" w:type="dxa"/>
        <w:tblLook w:val="04A0" w:firstRow="1" w:lastRow="0" w:firstColumn="1" w:lastColumn="0" w:noHBand="0" w:noVBand="1"/>
      </w:tblPr>
      <w:tblGrid>
        <w:gridCol w:w="13425"/>
      </w:tblGrid>
      <w:tr w:rsidR="00941BD0" w:rsidRPr="00941BD0" w:rsidTr="00941BD0">
        <w:trPr>
          <w:trHeight w:val="300"/>
        </w:trPr>
        <w:tc>
          <w:tcPr>
            <w:tcW w:w="13425" w:type="dxa"/>
            <w:tcBorders>
              <w:top w:val="nil"/>
              <w:left w:val="nil"/>
              <w:bottom w:val="nil"/>
              <w:right w:val="nil"/>
            </w:tcBorders>
            <w:shd w:val="clear" w:color="auto" w:fill="auto"/>
            <w:noWrap/>
            <w:vAlign w:val="bottom"/>
            <w:hideMark/>
          </w:tcPr>
          <w:p w:rsidR="00941BD0" w:rsidRPr="00941BD0" w:rsidRDefault="00941BD0" w:rsidP="00941BD0">
            <w:pPr>
              <w:spacing w:after="0" w:line="240" w:lineRule="auto"/>
              <w:rPr>
                <w:rFonts w:ascii="Times New Roman" w:eastAsia="Times New Roman" w:hAnsi="Times New Roman" w:cs="Times New Roman"/>
                <w:color w:val="000000"/>
                <w:sz w:val="20"/>
                <w:szCs w:val="20"/>
              </w:rPr>
            </w:pPr>
            <w:r w:rsidRPr="00941BD0">
              <w:rPr>
                <w:rFonts w:ascii="Times New Roman" w:eastAsia="Times New Roman" w:hAnsi="Times New Roman" w:cs="Times New Roman"/>
                <w:color w:val="000000"/>
                <w:sz w:val="20"/>
                <w:szCs w:val="20"/>
              </w:rPr>
              <w:t>* The validity of the 2009-10 CSU transfer figure is disputed, but is presently reported as it appears on the official CSU transfer report.</w:t>
            </w:r>
          </w:p>
        </w:tc>
      </w:tr>
      <w:tr w:rsidR="00941BD0" w:rsidRPr="00941BD0" w:rsidTr="00941BD0">
        <w:trPr>
          <w:trHeight w:val="300"/>
        </w:trPr>
        <w:tc>
          <w:tcPr>
            <w:tcW w:w="13425" w:type="dxa"/>
            <w:tcBorders>
              <w:top w:val="nil"/>
              <w:left w:val="nil"/>
              <w:bottom w:val="nil"/>
              <w:right w:val="nil"/>
            </w:tcBorders>
            <w:shd w:val="clear" w:color="auto" w:fill="auto"/>
            <w:noWrap/>
            <w:vAlign w:val="bottom"/>
            <w:hideMark/>
          </w:tcPr>
          <w:p w:rsidR="00941BD0" w:rsidRPr="00941BD0" w:rsidRDefault="00941BD0" w:rsidP="00941BD0">
            <w:pPr>
              <w:spacing w:after="0" w:line="240" w:lineRule="auto"/>
              <w:rPr>
                <w:rFonts w:ascii="Times New Roman" w:eastAsia="Times New Roman" w:hAnsi="Times New Roman" w:cs="Times New Roman"/>
                <w:color w:val="000000"/>
                <w:sz w:val="20"/>
                <w:szCs w:val="20"/>
              </w:rPr>
            </w:pPr>
            <w:r w:rsidRPr="00941BD0">
              <w:rPr>
                <w:rFonts w:ascii="Times New Roman" w:eastAsia="Times New Roman" w:hAnsi="Times New Roman" w:cs="Times New Roman"/>
                <w:color w:val="000000"/>
                <w:sz w:val="20"/>
                <w:szCs w:val="20"/>
              </w:rPr>
              <w:t xml:space="preserve">Sources: ISP &amp; OOS figures: </w:t>
            </w:r>
            <w:r w:rsidRPr="00941BD0">
              <w:rPr>
                <w:rFonts w:ascii="Times New Roman" w:eastAsia="Times New Roman" w:hAnsi="Times New Roman" w:cs="Times New Roman"/>
                <w:i/>
                <w:iCs/>
                <w:color w:val="000000"/>
                <w:sz w:val="20"/>
                <w:szCs w:val="20"/>
              </w:rPr>
              <w:t xml:space="preserve">CCCCO </w:t>
            </w:r>
            <w:proofErr w:type="spellStart"/>
            <w:r w:rsidRPr="00941BD0">
              <w:rPr>
                <w:rFonts w:ascii="Times New Roman" w:eastAsia="Times New Roman" w:hAnsi="Times New Roman" w:cs="Times New Roman"/>
                <w:i/>
                <w:iCs/>
                <w:color w:val="000000"/>
                <w:sz w:val="20"/>
                <w:szCs w:val="20"/>
              </w:rPr>
              <w:t>Datamart</w:t>
            </w:r>
            <w:proofErr w:type="spellEnd"/>
            <w:r w:rsidRPr="00941BD0">
              <w:rPr>
                <w:rFonts w:ascii="Times New Roman" w:eastAsia="Times New Roman" w:hAnsi="Times New Roman" w:cs="Times New Roman"/>
                <w:color w:val="000000"/>
                <w:sz w:val="20"/>
                <w:szCs w:val="20"/>
              </w:rPr>
              <w:t xml:space="preserve">, </w:t>
            </w:r>
            <w:hyperlink r:id="rId24" w:history="1">
              <w:r w:rsidRPr="00A47F2A">
                <w:rPr>
                  <w:rStyle w:val="Hyperlink"/>
                  <w:rFonts w:ascii="Times New Roman" w:eastAsia="Times New Roman" w:hAnsi="Times New Roman" w:cs="Times New Roman"/>
                  <w:sz w:val="20"/>
                  <w:szCs w:val="20"/>
                </w:rPr>
                <w:t>http://datamart.cccco.edu/Outcomes/Student_Transfer_Volume.aspx</w:t>
              </w:r>
            </w:hyperlink>
            <w:r>
              <w:rPr>
                <w:rFonts w:ascii="Times New Roman" w:eastAsia="Times New Roman" w:hAnsi="Times New Roman" w:cs="Times New Roman"/>
                <w:color w:val="000000"/>
                <w:sz w:val="20"/>
                <w:szCs w:val="20"/>
              </w:rPr>
              <w:t xml:space="preserve"> </w:t>
            </w:r>
            <w:r w:rsidRPr="00941BD0">
              <w:rPr>
                <w:rFonts w:ascii="Times New Roman" w:eastAsia="Times New Roman" w:hAnsi="Times New Roman" w:cs="Times New Roman"/>
                <w:color w:val="000000"/>
                <w:sz w:val="20"/>
                <w:szCs w:val="20"/>
              </w:rPr>
              <w:t>Retrieved 11/30/16.</w:t>
            </w:r>
          </w:p>
        </w:tc>
      </w:tr>
      <w:tr w:rsidR="00941BD0" w:rsidRPr="00941BD0" w:rsidTr="00941BD0">
        <w:trPr>
          <w:trHeight w:val="300"/>
        </w:trPr>
        <w:tc>
          <w:tcPr>
            <w:tcW w:w="13425" w:type="dxa"/>
            <w:tcBorders>
              <w:top w:val="nil"/>
              <w:left w:val="nil"/>
              <w:bottom w:val="nil"/>
              <w:right w:val="nil"/>
            </w:tcBorders>
            <w:shd w:val="clear" w:color="auto" w:fill="auto"/>
            <w:noWrap/>
            <w:vAlign w:val="bottom"/>
            <w:hideMark/>
          </w:tcPr>
          <w:p w:rsidR="00941BD0" w:rsidRPr="00941BD0" w:rsidRDefault="00941BD0" w:rsidP="00941BD0">
            <w:pPr>
              <w:spacing w:after="0" w:line="240" w:lineRule="auto"/>
              <w:rPr>
                <w:rFonts w:ascii="Times New Roman" w:eastAsia="Times New Roman" w:hAnsi="Times New Roman" w:cs="Times New Roman"/>
                <w:color w:val="000000"/>
                <w:sz w:val="20"/>
                <w:szCs w:val="20"/>
              </w:rPr>
            </w:pPr>
            <w:r w:rsidRPr="00941BD0">
              <w:rPr>
                <w:rFonts w:ascii="Times New Roman" w:eastAsia="Times New Roman" w:hAnsi="Times New Roman" w:cs="Times New Roman"/>
                <w:color w:val="000000"/>
                <w:sz w:val="20"/>
                <w:szCs w:val="20"/>
              </w:rPr>
              <w:t xml:space="preserve">Data for CSU transfers: California State University, </w:t>
            </w:r>
            <w:hyperlink r:id="rId25" w:history="1">
              <w:r w:rsidRPr="00A47F2A">
                <w:rPr>
                  <w:rStyle w:val="Hyperlink"/>
                  <w:rFonts w:ascii="Times New Roman" w:eastAsia="Times New Roman" w:hAnsi="Times New Roman" w:cs="Times New Roman"/>
                  <w:sz w:val="20"/>
                  <w:szCs w:val="20"/>
                </w:rPr>
                <w:t>http://www.calstate.edu/as/ccct/index.shtml</w:t>
              </w:r>
            </w:hyperlink>
            <w:r>
              <w:rPr>
                <w:rFonts w:ascii="Times New Roman" w:eastAsia="Times New Roman" w:hAnsi="Times New Roman" w:cs="Times New Roman"/>
                <w:color w:val="000000"/>
                <w:sz w:val="20"/>
                <w:szCs w:val="20"/>
              </w:rPr>
              <w:t xml:space="preserve"> </w:t>
            </w:r>
            <w:r w:rsidRPr="00941BD0">
              <w:rPr>
                <w:rFonts w:ascii="Times New Roman" w:eastAsia="Times New Roman" w:hAnsi="Times New Roman" w:cs="Times New Roman"/>
                <w:color w:val="000000"/>
                <w:sz w:val="20"/>
                <w:szCs w:val="20"/>
              </w:rPr>
              <w:t xml:space="preserve"> Retrieved 11/30/16.</w:t>
            </w:r>
          </w:p>
        </w:tc>
      </w:tr>
      <w:tr w:rsidR="00941BD0" w:rsidRPr="00941BD0" w:rsidTr="00941BD0">
        <w:trPr>
          <w:trHeight w:val="300"/>
        </w:trPr>
        <w:tc>
          <w:tcPr>
            <w:tcW w:w="13425" w:type="dxa"/>
            <w:tcBorders>
              <w:top w:val="nil"/>
              <w:left w:val="nil"/>
              <w:bottom w:val="nil"/>
              <w:right w:val="nil"/>
            </w:tcBorders>
            <w:shd w:val="clear" w:color="auto" w:fill="auto"/>
            <w:noWrap/>
            <w:vAlign w:val="bottom"/>
            <w:hideMark/>
          </w:tcPr>
          <w:p w:rsidR="00941BD0" w:rsidRPr="00941BD0" w:rsidRDefault="00941BD0" w:rsidP="00941BD0">
            <w:pPr>
              <w:spacing w:after="0" w:line="240" w:lineRule="auto"/>
              <w:rPr>
                <w:rFonts w:ascii="Times New Roman" w:eastAsia="Times New Roman" w:hAnsi="Times New Roman" w:cs="Times New Roman"/>
                <w:color w:val="000000"/>
                <w:sz w:val="20"/>
                <w:szCs w:val="20"/>
              </w:rPr>
            </w:pPr>
            <w:r w:rsidRPr="00941BD0">
              <w:rPr>
                <w:rFonts w:ascii="Times New Roman" w:eastAsia="Times New Roman" w:hAnsi="Times New Roman" w:cs="Times New Roman"/>
                <w:color w:val="000000"/>
                <w:sz w:val="20"/>
                <w:szCs w:val="20"/>
              </w:rPr>
              <w:t xml:space="preserve">Data for UC transfers, </w:t>
            </w:r>
            <w:proofErr w:type="spellStart"/>
            <w:r w:rsidRPr="00941BD0">
              <w:rPr>
                <w:rFonts w:ascii="Times New Roman" w:eastAsia="Times New Roman" w:hAnsi="Times New Roman" w:cs="Times New Roman"/>
                <w:color w:val="000000"/>
                <w:sz w:val="20"/>
                <w:szCs w:val="20"/>
              </w:rPr>
              <w:t>Univeristy</w:t>
            </w:r>
            <w:proofErr w:type="spellEnd"/>
            <w:r w:rsidRPr="00941BD0">
              <w:rPr>
                <w:rFonts w:ascii="Times New Roman" w:eastAsia="Times New Roman" w:hAnsi="Times New Roman" w:cs="Times New Roman"/>
                <w:color w:val="000000"/>
                <w:sz w:val="20"/>
                <w:szCs w:val="20"/>
              </w:rPr>
              <w:t xml:space="preserve"> of California, </w:t>
            </w:r>
            <w:hyperlink r:id="rId26" w:history="1">
              <w:r w:rsidRPr="00A47F2A">
                <w:rPr>
                  <w:rStyle w:val="Hyperlink"/>
                  <w:rFonts w:ascii="Times New Roman" w:eastAsia="Times New Roman" w:hAnsi="Times New Roman" w:cs="Times New Roman"/>
                  <w:sz w:val="20"/>
                  <w:szCs w:val="20"/>
                </w:rPr>
                <w:t>https://www.universityofcalifornia.edu/infocenter/california-community-college-enrollments-u</w:t>
              </w:r>
            </w:hyperlink>
            <w:r>
              <w:rPr>
                <w:rFonts w:ascii="Times New Roman" w:eastAsia="Times New Roman" w:hAnsi="Times New Roman" w:cs="Times New Roman"/>
                <w:color w:val="000000"/>
                <w:sz w:val="20"/>
                <w:szCs w:val="20"/>
              </w:rPr>
              <w:t xml:space="preserve"> </w:t>
            </w:r>
            <w:r w:rsidRPr="00941BD0">
              <w:rPr>
                <w:rFonts w:ascii="Times New Roman" w:eastAsia="Times New Roman" w:hAnsi="Times New Roman" w:cs="Times New Roman"/>
                <w:color w:val="000000"/>
                <w:sz w:val="20"/>
                <w:szCs w:val="20"/>
              </w:rPr>
              <w:t>. Retrieved 11/30/16.</w:t>
            </w:r>
          </w:p>
        </w:tc>
      </w:tr>
    </w:tbl>
    <w:p w:rsidR="00E07E4C" w:rsidRDefault="00E07E4C" w:rsidP="005B5386">
      <w:pPr>
        <w:tabs>
          <w:tab w:val="left" w:pos="8382"/>
        </w:tabs>
        <w:spacing w:after="0" w:line="240" w:lineRule="auto"/>
        <w:rPr>
          <w:rFonts w:ascii="Times New Roman" w:eastAsia="Times New Roman" w:hAnsi="Times New Roman" w:cs="Times New Roman"/>
          <w:sz w:val="24"/>
          <w:szCs w:val="24"/>
        </w:rPr>
      </w:pPr>
    </w:p>
    <w:sectPr w:rsidR="00E07E4C" w:rsidSect="00941BD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E3" w:rsidRDefault="002466E3" w:rsidP="002466E3">
      <w:pPr>
        <w:spacing w:after="0" w:line="240" w:lineRule="auto"/>
      </w:pPr>
      <w:r>
        <w:separator/>
      </w:r>
    </w:p>
  </w:endnote>
  <w:endnote w:type="continuationSeparator" w:id="0">
    <w:p w:rsidR="002466E3" w:rsidRDefault="002466E3" w:rsidP="0024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106985"/>
      <w:docPartObj>
        <w:docPartGallery w:val="Page Numbers (Bottom of Page)"/>
        <w:docPartUnique/>
      </w:docPartObj>
    </w:sdtPr>
    <w:sdtEndPr/>
    <w:sdtContent>
      <w:p w:rsidR="002466E3" w:rsidRDefault="002466E3">
        <w:pPr>
          <w:pStyle w:val="Footer"/>
          <w:jc w:val="right"/>
        </w:pPr>
        <w:r>
          <w:t xml:space="preserve">Page | </w:t>
        </w:r>
        <w:r>
          <w:fldChar w:fldCharType="begin"/>
        </w:r>
        <w:r>
          <w:instrText xml:space="preserve"> PAGE   \* MERGEFORMAT </w:instrText>
        </w:r>
        <w:r>
          <w:fldChar w:fldCharType="separate"/>
        </w:r>
        <w:r w:rsidR="00DC54FB">
          <w:rPr>
            <w:noProof/>
          </w:rPr>
          <w:t>1</w:t>
        </w:r>
        <w:r>
          <w:rPr>
            <w:noProof/>
          </w:rPr>
          <w:fldChar w:fldCharType="end"/>
        </w:r>
        <w:r>
          <w:t xml:space="preserve"> </w:t>
        </w:r>
      </w:p>
    </w:sdtContent>
  </w:sdt>
  <w:p w:rsidR="002466E3" w:rsidRDefault="0024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E3" w:rsidRDefault="002466E3" w:rsidP="002466E3">
      <w:pPr>
        <w:spacing w:after="0" w:line="240" w:lineRule="auto"/>
      </w:pPr>
      <w:r>
        <w:separator/>
      </w:r>
    </w:p>
  </w:footnote>
  <w:footnote w:type="continuationSeparator" w:id="0">
    <w:p w:rsidR="002466E3" w:rsidRDefault="002466E3" w:rsidP="00246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2DE"/>
    <w:multiLevelType w:val="multilevel"/>
    <w:tmpl w:val="E164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2641C"/>
    <w:multiLevelType w:val="hybridMultilevel"/>
    <w:tmpl w:val="ED242B00"/>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F23EC"/>
    <w:multiLevelType w:val="hybridMultilevel"/>
    <w:tmpl w:val="BBF67D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F269C"/>
    <w:multiLevelType w:val="hybridMultilevel"/>
    <w:tmpl w:val="DECE3DEA"/>
    <w:lvl w:ilvl="0" w:tplc="C91849CE">
      <w:start w:val="2013"/>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86"/>
    <w:rsid w:val="0005690C"/>
    <w:rsid w:val="000F7557"/>
    <w:rsid w:val="00152B31"/>
    <w:rsid w:val="00187BFB"/>
    <w:rsid w:val="002466E3"/>
    <w:rsid w:val="002B6716"/>
    <w:rsid w:val="002C0F04"/>
    <w:rsid w:val="003F5E65"/>
    <w:rsid w:val="004301A5"/>
    <w:rsid w:val="004716EC"/>
    <w:rsid w:val="00530A4C"/>
    <w:rsid w:val="005B5386"/>
    <w:rsid w:val="005D260E"/>
    <w:rsid w:val="005F3C3B"/>
    <w:rsid w:val="006857A0"/>
    <w:rsid w:val="0069351C"/>
    <w:rsid w:val="006A5008"/>
    <w:rsid w:val="006F4976"/>
    <w:rsid w:val="00715D1A"/>
    <w:rsid w:val="007A6217"/>
    <w:rsid w:val="007F0F80"/>
    <w:rsid w:val="008E2B61"/>
    <w:rsid w:val="00935001"/>
    <w:rsid w:val="00941BD0"/>
    <w:rsid w:val="00997A0E"/>
    <w:rsid w:val="00A26E78"/>
    <w:rsid w:val="00C95945"/>
    <w:rsid w:val="00CB0CD9"/>
    <w:rsid w:val="00CE6529"/>
    <w:rsid w:val="00D25E11"/>
    <w:rsid w:val="00D64C83"/>
    <w:rsid w:val="00DA0CA1"/>
    <w:rsid w:val="00DC54FB"/>
    <w:rsid w:val="00E07E4C"/>
    <w:rsid w:val="00EE1C06"/>
    <w:rsid w:val="00F24DFD"/>
    <w:rsid w:val="00F4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4C"/>
    <w:pPr>
      <w:ind w:left="720"/>
      <w:contextualSpacing/>
    </w:pPr>
  </w:style>
  <w:style w:type="table" w:styleId="TableGrid">
    <w:name w:val="Table Grid"/>
    <w:basedOn w:val="TableNormal"/>
    <w:uiPriority w:val="59"/>
    <w:rsid w:val="00E07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E4C"/>
    <w:rPr>
      <w:color w:val="0000FF" w:themeColor="hyperlink"/>
      <w:u w:val="single"/>
    </w:rPr>
  </w:style>
  <w:style w:type="paragraph" w:styleId="BalloonText">
    <w:name w:val="Balloon Text"/>
    <w:basedOn w:val="Normal"/>
    <w:link w:val="BalloonTextChar"/>
    <w:uiPriority w:val="99"/>
    <w:semiHidden/>
    <w:unhideWhenUsed/>
    <w:rsid w:val="0015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31"/>
    <w:rPr>
      <w:rFonts w:ascii="Tahoma" w:hAnsi="Tahoma" w:cs="Tahoma"/>
      <w:sz w:val="16"/>
      <w:szCs w:val="16"/>
    </w:rPr>
  </w:style>
  <w:style w:type="character" w:styleId="FollowedHyperlink">
    <w:name w:val="FollowedHyperlink"/>
    <w:basedOn w:val="DefaultParagraphFont"/>
    <w:uiPriority w:val="99"/>
    <w:semiHidden/>
    <w:unhideWhenUsed/>
    <w:rsid w:val="00715D1A"/>
    <w:rPr>
      <w:color w:val="800080" w:themeColor="followedHyperlink"/>
      <w:u w:val="single"/>
    </w:rPr>
  </w:style>
  <w:style w:type="paragraph" w:styleId="Header">
    <w:name w:val="header"/>
    <w:basedOn w:val="Normal"/>
    <w:link w:val="HeaderChar"/>
    <w:uiPriority w:val="99"/>
    <w:unhideWhenUsed/>
    <w:rsid w:val="0024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E3"/>
  </w:style>
  <w:style w:type="paragraph" w:styleId="Footer">
    <w:name w:val="footer"/>
    <w:basedOn w:val="Normal"/>
    <w:link w:val="FooterChar"/>
    <w:uiPriority w:val="99"/>
    <w:unhideWhenUsed/>
    <w:rsid w:val="0024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4C"/>
    <w:pPr>
      <w:ind w:left="720"/>
      <w:contextualSpacing/>
    </w:pPr>
  </w:style>
  <w:style w:type="table" w:styleId="TableGrid">
    <w:name w:val="Table Grid"/>
    <w:basedOn w:val="TableNormal"/>
    <w:uiPriority w:val="59"/>
    <w:rsid w:val="00E07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E4C"/>
    <w:rPr>
      <w:color w:val="0000FF" w:themeColor="hyperlink"/>
      <w:u w:val="single"/>
    </w:rPr>
  </w:style>
  <w:style w:type="paragraph" w:styleId="BalloonText">
    <w:name w:val="Balloon Text"/>
    <w:basedOn w:val="Normal"/>
    <w:link w:val="BalloonTextChar"/>
    <w:uiPriority w:val="99"/>
    <w:semiHidden/>
    <w:unhideWhenUsed/>
    <w:rsid w:val="0015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31"/>
    <w:rPr>
      <w:rFonts w:ascii="Tahoma" w:hAnsi="Tahoma" w:cs="Tahoma"/>
      <w:sz w:val="16"/>
      <w:szCs w:val="16"/>
    </w:rPr>
  </w:style>
  <w:style w:type="character" w:styleId="FollowedHyperlink">
    <w:name w:val="FollowedHyperlink"/>
    <w:basedOn w:val="DefaultParagraphFont"/>
    <w:uiPriority w:val="99"/>
    <w:semiHidden/>
    <w:unhideWhenUsed/>
    <w:rsid w:val="00715D1A"/>
    <w:rPr>
      <w:color w:val="800080" w:themeColor="followedHyperlink"/>
      <w:u w:val="single"/>
    </w:rPr>
  </w:style>
  <w:style w:type="paragraph" w:styleId="Header">
    <w:name w:val="header"/>
    <w:basedOn w:val="Normal"/>
    <w:link w:val="HeaderChar"/>
    <w:uiPriority w:val="99"/>
    <w:unhideWhenUsed/>
    <w:rsid w:val="0024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E3"/>
  </w:style>
  <w:style w:type="paragraph" w:styleId="Footer">
    <w:name w:val="footer"/>
    <w:basedOn w:val="Normal"/>
    <w:link w:val="FooterChar"/>
    <w:uiPriority w:val="99"/>
    <w:unhideWhenUsed/>
    <w:rsid w:val="0024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7803">
      <w:bodyDiv w:val="1"/>
      <w:marLeft w:val="0"/>
      <w:marRight w:val="0"/>
      <w:marTop w:val="0"/>
      <w:marBottom w:val="0"/>
      <w:divBdr>
        <w:top w:val="none" w:sz="0" w:space="0" w:color="auto"/>
        <w:left w:val="none" w:sz="0" w:space="0" w:color="auto"/>
        <w:bottom w:val="none" w:sz="0" w:space="0" w:color="auto"/>
        <w:right w:val="none" w:sz="0" w:space="0" w:color="auto"/>
      </w:divBdr>
    </w:div>
    <w:div w:id="864055565">
      <w:bodyDiv w:val="1"/>
      <w:marLeft w:val="0"/>
      <w:marRight w:val="0"/>
      <w:marTop w:val="0"/>
      <w:marBottom w:val="0"/>
      <w:divBdr>
        <w:top w:val="none" w:sz="0" w:space="0" w:color="auto"/>
        <w:left w:val="none" w:sz="0" w:space="0" w:color="auto"/>
        <w:bottom w:val="none" w:sz="0" w:space="0" w:color="auto"/>
        <w:right w:val="none" w:sz="0" w:space="0" w:color="auto"/>
      </w:divBdr>
      <w:divsChild>
        <w:div w:id="815220243">
          <w:marLeft w:val="0"/>
          <w:marRight w:val="0"/>
          <w:marTop w:val="0"/>
          <w:marBottom w:val="0"/>
          <w:divBdr>
            <w:top w:val="none" w:sz="0" w:space="0" w:color="auto"/>
            <w:left w:val="none" w:sz="0" w:space="0" w:color="auto"/>
            <w:bottom w:val="none" w:sz="0" w:space="0" w:color="auto"/>
            <w:right w:val="none" w:sz="0" w:space="0" w:color="auto"/>
          </w:divBdr>
        </w:div>
        <w:div w:id="1415858910">
          <w:marLeft w:val="0"/>
          <w:marRight w:val="0"/>
          <w:marTop w:val="0"/>
          <w:marBottom w:val="0"/>
          <w:divBdr>
            <w:top w:val="none" w:sz="0" w:space="0" w:color="auto"/>
            <w:left w:val="none" w:sz="0" w:space="0" w:color="auto"/>
            <w:bottom w:val="none" w:sz="0" w:space="0" w:color="auto"/>
            <w:right w:val="none" w:sz="0" w:space="0" w:color="auto"/>
          </w:divBdr>
        </w:div>
        <w:div w:id="1416055731">
          <w:marLeft w:val="0"/>
          <w:marRight w:val="0"/>
          <w:marTop w:val="0"/>
          <w:marBottom w:val="0"/>
          <w:divBdr>
            <w:top w:val="none" w:sz="0" w:space="0" w:color="auto"/>
            <w:left w:val="none" w:sz="0" w:space="0" w:color="auto"/>
            <w:bottom w:val="none" w:sz="0" w:space="0" w:color="auto"/>
            <w:right w:val="none" w:sz="0" w:space="0" w:color="auto"/>
          </w:divBdr>
        </w:div>
        <w:div w:id="1660425183">
          <w:marLeft w:val="0"/>
          <w:marRight w:val="0"/>
          <w:marTop w:val="0"/>
          <w:marBottom w:val="0"/>
          <w:divBdr>
            <w:top w:val="none" w:sz="0" w:space="0" w:color="auto"/>
            <w:left w:val="none" w:sz="0" w:space="0" w:color="auto"/>
            <w:bottom w:val="none" w:sz="0" w:space="0" w:color="auto"/>
            <w:right w:val="none" w:sz="0" w:space="0" w:color="auto"/>
          </w:divBdr>
        </w:div>
      </w:divsChild>
    </w:div>
    <w:div w:id="897398082">
      <w:bodyDiv w:val="1"/>
      <w:marLeft w:val="0"/>
      <w:marRight w:val="0"/>
      <w:marTop w:val="0"/>
      <w:marBottom w:val="0"/>
      <w:divBdr>
        <w:top w:val="none" w:sz="0" w:space="0" w:color="auto"/>
        <w:left w:val="none" w:sz="0" w:space="0" w:color="auto"/>
        <w:bottom w:val="none" w:sz="0" w:space="0" w:color="auto"/>
        <w:right w:val="none" w:sz="0" w:space="0" w:color="auto"/>
      </w:divBdr>
    </w:div>
    <w:div w:id="2014526162">
      <w:bodyDiv w:val="1"/>
      <w:marLeft w:val="0"/>
      <w:marRight w:val="0"/>
      <w:marTop w:val="0"/>
      <w:marBottom w:val="0"/>
      <w:divBdr>
        <w:top w:val="none" w:sz="0" w:space="0" w:color="auto"/>
        <w:left w:val="none" w:sz="0" w:space="0" w:color="auto"/>
        <w:bottom w:val="none" w:sz="0" w:space="0" w:color="auto"/>
        <w:right w:val="none" w:sz="0" w:space="0" w:color="auto"/>
      </w:divBdr>
    </w:div>
    <w:div w:id="2037267209">
      <w:bodyDiv w:val="1"/>
      <w:marLeft w:val="0"/>
      <w:marRight w:val="0"/>
      <w:marTop w:val="0"/>
      <w:marBottom w:val="0"/>
      <w:divBdr>
        <w:top w:val="none" w:sz="0" w:space="0" w:color="auto"/>
        <w:left w:val="none" w:sz="0" w:space="0" w:color="auto"/>
        <w:bottom w:val="none" w:sz="0" w:space="0" w:color="auto"/>
        <w:right w:val="none" w:sz="0" w:space="0" w:color="auto"/>
      </w:divBdr>
      <w:divsChild>
        <w:div w:id="772827295">
          <w:marLeft w:val="0"/>
          <w:marRight w:val="0"/>
          <w:marTop w:val="0"/>
          <w:marBottom w:val="0"/>
          <w:divBdr>
            <w:top w:val="none" w:sz="0" w:space="0" w:color="auto"/>
            <w:left w:val="none" w:sz="0" w:space="0" w:color="auto"/>
            <w:bottom w:val="none" w:sz="0" w:space="0" w:color="auto"/>
            <w:right w:val="none" w:sz="0" w:space="0" w:color="auto"/>
          </w:divBdr>
        </w:div>
        <w:div w:id="811361477">
          <w:marLeft w:val="0"/>
          <w:marRight w:val="0"/>
          <w:marTop w:val="0"/>
          <w:marBottom w:val="0"/>
          <w:divBdr>
            <w:top w:val="none" w:sz="0" w:space="0" w:color="auto"/>
            <w:left w:val="none" w:sz="0" w:space="0" w:color="auto"/>
            <w:bottom w:val="none" w:sz="0" w:space="0" w:color="auto"/>
            <w:right w:val="none" w:sz="0" w:space="0" w:color="auto"/>
          </w:divBdr>
        </w:div>
        <w:div w:id="817188203">
          <w:marLeft w:val="0"/>
          <w:marRight w:val="0"/>
          <w:marTop w:val="0"/>
          <w:marBottom w:val="0"/>
          <w:divBdr>
            <w:top w:val="none" w:sz="0" w:space="0" w:color="auto"/>
            <w:left w:val="none" w:sz="0" w:space="0" w:color="auto"/>
            <w:bottom w:val="none" w:sz="0" w:space="0" w:color="auto"/>
            <w:right w:val="none" w:sz="0" w:space="0" w:color="auto"/>
          </w:divBdr>
        </w:div>
        <w:div w:id="861628371">
          <w:marLeft w:val="0"/>
          <w:marRight w:val="0"/>
          <w:marTop w:val="0"/>
          <w:marBottom w:val="0"/>
          <w:divBdr>
            <w:top w:val="none" w:sz="0" w:space="0" w:color="auto"/>
            <w:left w:val="none" w:sz="0" w:space="0" w:color="auto"/>
            <w:bottom w:val="none" w:sz="0" w:space="0" w:color="auto"/>
            <w:right w:val="none" w:sz="0" w:space="0" w:color="auto"/>
          </w:divBdr>
        </w:div>
        <w:div w:id="1206717697">
          <w:marLeft w:val="0"/>
          <w:marRight w:val="0"/>
          <w:marTop w:val="0"/>
          <w:marBottom w:val="0"/>
          <w:divBdr>
            <w:top w:val="none" w:sz="0" w:space="0" w:color="auto"/>
            <w:left w:val="none" w:sz="0" w:space="0" w:color="auto"/>
            <w:bottom w:val="none" w:sz="0" w:space="0" w:color="auto"/>
            <w:right w:val="none" w:sz="0" w:space="0" w:color="auto"/>
          </w:divBdr>
        </w:div>
        <w:div w:id="1219122557">
          <w:marLeft w:val="0"/>
          <w:marRight w:val="0"/>
          <w:marTop w:val="0"/>
          <w:marBottom w:val="0"/>
          <w:divBdr>
            <w:top w:val="none" w:sz="0" w:space="0" w:color="auto"/>
            <w:left w:val="none" w:sz="0" w:space="0" w:color="auto"/>
            <w:bottom w:val="none" w:sz="0" w:space="0" w:color="auto"/>
            <w:right w:val="none" w:sz="0" w:space="0" w:color="auto"/>
          </w:divBdr>
        </w:div>
        <w:div w:id="1249193788">
          <w:marLeft w:val="0"/>
          <w:marRight w:val="0"/>
          <w:marTop w:val="0"/>
          <w:marBottom w:val="0"/>
          <w:divBdr>
            <w:top w:val="none" w:sz="0" w:space="0" w:color="auto"/>
            <w:left w:val="none" w:sz="0" w:space="0" w:color="auto"/>
            <w:bottom w:val="none" w:sz="0" w:space="0" w:color="auto"/>
            <w:right w:val="none" w:sz="0" w:space="0" w:color="auto"/>
          </w:divBdr>
        </w:div>
        <w:div w:id="1343585398">
          <w:marLeft w:val="0"/>
          <w:marRight w:val="0"/>
          <w:marTop w:val="0"/>
          <w:marBottom w:val="0"/>
          <w:divBdr>
            <w:top w:val="none" w:sz="0" w:space="0" w:color="auto"/>
            <w:left w:val="none" w:sz="0" w:space="0" w:color="auto"/>
            <w:bottom w:val="none" w:sz="0" w:space="0" w:color="auto"/>
            <w:right w:val="none" w:sz="0" w:space="0" w:color="auto"/>
          </w:divBdr>
        </w:div>
        <w:div w:id="1466118187">
          <w:marLeft w:val="0"/>
          <w:marRight w:val="0"/>
          <w:marTop w:val="0"/>
          <w:marBottom w:val="0"/>
          <w:divBdr>
            <w:top w:val="none" w:sz="0" w:space="0" w:color="auto"/>
            <w:left w:val="none" w:sz="0" w:space="0" w:color="auto"/>
            <w:bottom w:val="none" w:sz="0" w:space="0" w:color="auto"/>
            <w:right w:val="none" w:sz="0" w:space="0" w:color="auto"/>
          </w:divBdr>
        </w:div>
        <w:div w:id="1678926006">
          <w:marLeft w:val="0"/>
          <w:marRight w:val="0"/>
          <w:marTop w:val="0"/>
          <w:marBottom w:val="0"/>
          <w:divBdr>
            <w:top w:val="none" w:sz="0" w:space="0" w:color="auto"/>
            <w:left w:val="none" w:sz="0" w:space="0" w:color="auto"/>
            <w:bottom w:val="none" w:sz="0" w:space="0" w:color="auto"/>
            <w:right w:val="none" w:sz="0" w:space="0" w:color="auto"/>
          </w:divBdr>
        </w:div>
        <w:div w:id="1917781661">
          <w:marLeft w:val="0"/>
          <w:marRight w:val="0"/>
          <w:marTop w:val="0"/>
          <w:marBottom w:val="0"/>
          <w:divBdr>
            <w:top w:val="none" w:sz="0" w:space="0" w:color="auto"/>
            <w:left w:val="none" w:sz="0" w:space="0" w:color="auto"/>
            <w:bottom w:val="none" w:sz="0" w:space="0" w:color="auto"/>
            <w:right w:val="none" w:sz="0" w:space="0" w:color="auto"/>
          </w:divBdr>
        </w:div>
        <w:div w:id="2020083154">
          <w:marLeft w:val="0"/>
          <w:marRight w:val="0"/>
          <w:marTop w:val="0"/>
          <w:marBottom w:val="0"/>
          <w:divBdr>
            <w:top w:val="none" w:sz="0" w:space="0" w:color="auto"/>
            <w:left w:val="none" w:sz="0" w:space="0" w:color="auto"/>
            <w:bottom w:val="none" w:sz="0" w:space="0" w:color="auto"/>
            <w:right w:val="none" w:sz="0" w:space="0" w:color="auto"/>
          </w:divBdr>
        </w:div>
      </w:divsChild>
    </w:div>
    <w:div w:id="2064787749">
      <w:bodyDiv w:val="1"/>
      <w:marLeft w:val="0"/>
      <w:marRight w:val="0"/>
      <w:marTop w:val="0"/>
      <w:marBottom w:val="0"/>
      <w:divBdr>
        <w:top w:val="none" w:sz="0" w:space="0" w:color="auto"/>
        <w:left w:val="none" w:sz="0" w:space="0" w:color="auto"/>
        <w:bottom w:val="none" w:sz="0" w:space="0" w:color="auto"/>
        <w:right w:val="none" w:sz="0" w:space="0" w:color="auto"/>
      </w:divBdr>
      <w:divsChild>
        <w:div w:id="973296109">
          <w:marLeft w:val="0"/>
          <w:marRight w:val="0"/>
          <w:marTop w:val="0"/>
          <w:marBottom w:val="0"/>
          <w:divBdr>
            <w:top w:val="none" w:sz="0" w:space="0" w:color="auto"/>
            <w:left w:val="none" w:sz="0" w:space="0" w:color="auto"/>
            <w:bottom w:val="none" w:sz="0" w:space="0" w:color="auto"/>
            <w:right w:val="none" w:sz="0" w:space="0" w:color="auto"/>
          </w:divBdr>
        </w:div>
        <w:div w:id="591353505">
          <w:marLeft w:val="0"/>
          <w:marRight w:val="0"/>
          <w:marTop w:val="0"/>
          <w:marBottom w:val="0"/>
          <w:divBdr>
            <w:top w:val="none" w:sz="0" w:space="0" w:color="auto"/>
            <w:left w:val="none" w:sz="0" w:space="0" w:color="auto"/>
            <w:bottom w:val="none" w:sz="0" w:space="0" w:color="auto"/>
            <w:right w:val="none" w:sz="0" w:space="0" w:color="auto"/>
          </w:divBdr>
        </w:div>
        <w:div w:id="79260038">
          <w:marLeft w:val="0"/>
          <w:marRight w:val="0"/>
          <w:marTop w:val="0"/>
          <w:marBottom w:val="0"/>
          <w:divBdr>
            <w:top w:val="none" w:sz="0" w:space="0" w:color="auto"/>
            <w:left w:val="none" w:sz="0" w:space="0" w:color="auto"/>
            <w:bottom w:val="none" w:sz="0" w:space="0" w:color="auto"/>
            <w:right w:val="none" w:sz="0" w:space="0" w:color="auto"/>
          </w:divBdr>
        </w:div>
        <w:div w:id="1882665297">
          <w:marLeft w:val="0"/>
          <w:marRight w:val="0"/>
          <w:marTop w:val="0"/>
          <w:marBottom w:val="0"/>
          <w:divBdr>
            <w:top w:val="none" w:sz="0" w:space="0" w:color="auto"/>
            <w:left w:val="none" w:sz="0" w:space="0" w:color="auto"/>
            <w:bottom w:val="none" w:sz="0" w:space="0" w:color="auto"/>
            <w:right w:val="none" w:sz="0" w:space="0" w:color="auto"/>
          </w:divBdr>
        </w:div>
      </w:divsChild>
    </w:div>
    <w:div w:id="21143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oleObject" Target="file:///D:\PEPC\Data%20for%20Standards.xlsx!Persistence!R2C1:R18C10" TargetMode="External"/><Relationship Id="rId26" Type="http://schemas.openxmlformats.org/officeDocument/2006/relationships/hyperlink" Target="https://www.universityofcalifornia.edu/infocenter/california-community-college-enrollments-u" TargetMode="External"/><Relationship Id="rId3" Type="http://schemas.microsoft.com/office/2007/relationships/stylesWithEffects" Target="stylesWithEffects.xml"/><Relationship Id="rId21" Type="http://schemas.openxmlformats.org/officeDocument/2006/relationships/oleObject" Target="file:///D:\PEPC\Data%20for%20Standards.xlsx!Awards!R2C1:R12C18"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emf"/><Relationship Id="rId25" Type="http://schemas.openxmlformats.org/officeDocument/2006/relationships/hyperlink" Target="http://www.calstate.edu/as/ccct/index.shtml" TargetMode="External"/><Relationship Id="rId2" Type="http://schemas.openxmlformats.org/officeDocument/2006/relationships/styles" Target="styles.xml"/><Relationship Id="rId16" Type="http://schemas.openxmlformats.org/officeDocument/2006/relationships/oleObject" Target="file:///D:\PEPC\Data%20for%20Standards.xlsx!Succ%20Ret!R1C1:R6C17"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datamart.cccco.edu/Outcomes/Student_Transfer_Volume.aspx"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file:///D:\PEPC\Data%20for%20Standards.xlsx!Transfer!R2C1:R12C15"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public.tableau.com/views/LAVC10YearEnrollmentSuccessRetentionData2006-16_0/ISSDeptbyAY?:embed=y&amp;:display_count=ye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7F83A1-AFD4-4FFE-92E9-B44AB7619976}" type="doc">
      <dgm:prSet loTypeId="urn:microsoft.com/office/officeart/2005/8/layout/arrow4" loCatId="process" qsTypeId="urn:microsoft.com/office/officeart/2005/8/quickstyle/simple1" qsCatId="simple" csTypeId="urn:microsoft.com/office/officeart/2005/8/colors/accent1_2" csCatId="accent1" phldr="1"/>
      <dgm:spPr/>
      <dgm:t>
        <a:bodyPr/>
        <a:lstStyle/>
        <a:p>
          <a:endParaRPr lang="en-US"/>
        </a:p>
      </dgm:t>
    </dgm:pt>
    <dgm:pt modelId="{DD9C6ED3-BDE0-478D-9757-7C31D552E994}">
      <dgm:prSet phldrT="[Text]"/>
      <dgm:spPr>
        <a:ln w="38100">
          <a:solidFill>
            <a:srgbClr val="00B050"/>
          </a:solidFill>
        </a:ln>
      </dgm:spPr>
      <dgm:t>
        <a:bodyPr/>
        <a:lstStyle/>
        <a:p>
          <a:pPr algn="ctr"/>
          <a:r>
            <a:rPr lang="en-US" b="1">
              <a:latin typeface="Times New Roman" pitchFamily="18" charset="0"/>
              <a:cs typeface="Times New Roman" pitchFamily="18" charset="0"/>
            </a:rPr>
            <a:t>Goals</a:t>
          </a:r>
        </a:p>
        <a:p>
          <a:pPr algn="ctr"/>
          <a:r>
            <a:rPr lang="en-US">
              <a:latin typeface="Times New Roman" pitchFamily="18" charset="0"/>
              <a:cs typeface="Times New Roman" pitchFamily="18" charset="0"/>
            </a:rPr>
            <a:t>Target for improvement</a:t>
          </a:r>
        </a:p>
      </dgm:t>
    </dgm:pt>
    <dgm:pt modelId="{3667008B-B42F-4431-967D-CCADEF9B5A3C}" type="parTrans" cxnId="{0C5C2BD3-5174-4700-A7A6-AD0B677D43E0}">
      <dgm:prSet/>
      <dgm:spPr/>
      <dgm:t>
        <a:bodyPr/>
        <a:lstStyle/>
        <a:p>
          <a:pPr algn="ctr"/>
          <a:endParaRPr lang="en-US"/>
        </a:p>
      </dgm:t>
    </dgm:pt>
    <dgm:pt modelId="{7FF6AC71-485C-40F9-B127-04E8B8F571F7}" type="sibTrans" cxnId="{0C5C2BD3-5174-4700-A7A6-AD0B677D43E0}">
      <dgm:prSet/>
      <dgm:spPr/>
      <dgm:t>
        <a:bodyPr/>
        <a:lstStyle/>
        <a:p>
          <a:pPr algn="ctr"/>
          <a:endParaRPr lang="en-US"/>
        </a:p>
      </dgm:t>
    </dgm:pt>
    <dgm:pt modelId="{B4C15B96-4F5E-4F27-BE18-73C21C01AD98}">
      <dgm:prSet phldrT="[Text]"/>
      <dgm:spPr>
        <a:ln w="38100">
          <a:solidFill>
            <a:schemeClr val="accent6">
              <a:lumMod val="75000"/>
            </a:schemeClr>
          </a:solidFill>
        </a:ln>
      </dgm:spPr>
      <dgm:t>
        <a:bodyPr/>
        <a:lstStyle/>
        <a:p>
          <a:pPr algn="ctr"/>
          <a:r>
            <a:rPr lang="en-US" b="1">
              <a:latin typeface="Times New Roman" pitchFamily="18" charset="0"/>
              <a:cs typeface="Times New Roman" pitchFamily="18" charset="0"/>
            </a:rPr>
            <a:t>Insititution-Set Standard</a:t>
          </a:r>
        </a:p>
        <a:p>
          <a:pPr algn="ctr"/>
          <a:r>
            <a:rPr lang="en-US">
              <a:latin typeface="Times New Roman" pitchFamily="18" charset="0"/>
              <a:cs typeface="Times New Roman" pitchFamily="18" charset="0"/>
            </a:rPr>
            <a:t>The minimum level that ensures academic quality</a:t>
          </a:r>
        </a:p>
      </dgm:t>
    </dgm:pt>
    <dgm:pt modelId="{311C9461-C9C0-4256-AFF7-A4524CA19D54}" type="parTrans" cxnId="{159C124F-F116-4442-8FC4-732D98A65EB5}">
      <dgm:prSet/>
      <dgm:spPr/>
      <dgm:t>
        <a:bodyPr/>
        <a:lstStyle/>
        <a:p>
          <a:pPr algn="ctr"/>
          <a:endParaRPr lang="en-US"/>
        </a:p>
      </dgm:t>
    </dgm:pt>
    <dgm:pt modelId="{277AD96F-A64B-4870-8556-B6860E2AD35C}" type="sibTrans" cxnId="{159C124F-F116-4442-8FC4-732D98A65EB5}">
      <dgm:prSet/>
      <dgm:spPr/>
      <dgm:t>
        <a:bodyPr/>
        <a:lstStyle/>
        <a:p>
          <a:pPr algn="ctr"/>
          <a:endParaRPr lang="en-US"/>
        </a:p>
      </dgm:t>
    </dgm:pt>
    <dgm:pt modelId="{3FC1FF92-FF47-4DFB-8CBB-810AF57C0761}" type="pres">
      <dgm:prSet presAssocID="{E07F83A1-AFD4-4FFE-92E9-B44AB7619976}" presName="compositeShape" presStyleCnt="0">
        <dgm:presLayoutVars>
          <dgm:chMax val="2"/>
          <dgm:dir/>
          <dgm:resizeHandles val="exact"/>
        </dgm:presLayoutVars>
      </dgm:prSet>
      <dgm:spPr/>
      <dgm:t>
        <a:bodyPr/>
        <a:lstStyle/>
        <a:p>
          <a:endParaRPr lang="en-US"/>
        </a:p>
      </dgm:t>
    </dgm:pt>
    <dgm:pt modelId="{4719F804-EC7E-4639-A2B8-7C4E0D5E3FBE}" type="pres">
      <dgm:prSet presAssocID="{DD9C6ED3-BDE0-478D-9757-7C31D552E994}" presName="upArrow" presStyleLbl="node1" presStyleIdx="0" presStyleCnt="2" custLinFactNeighborX="3781"/>
      <dgm:spPr>
        <a:solidFill>
          <a:srgbClr val="92D050"/>
        </a:solidFill>
        <a:ln>
          <a:solidFill>
            <a:srgbClr val="00B050"/>
          </a:solidFill>
        </a:ln>
      </dgm:spPr>
    </dgm:pt>
    <dgm:pt modelId="{893269E6-CAF1-4AD8-B16C-5D1836472D41}" type="pres">
      <dgm:prSet presAssocID="{DD9C6ED3-BDE0-478D-9757-7C31D552E994}" presName="upArrowText" presStyleLbl="revTx" presStyleIdx="0" presStyleCnt="2" custScaleX="113119" custScaleY="51028" custLinFactNeighborX="11786">
        <dgm:presLayoutVars>
          <dgm:chMax val="0"/>
          <dgm:bulletEnabled val="1"/>
        </dgm:presLayoutVars>
      </dgm:prSet>
      <dgm:spPr/>
      <dgm:t>
        <a:bodyPr/>
        <a:lstStyle/>
        <a:p>
          <a:endParaRPr lang="en-US"/>
        </a:p>
      </dgm:t>
    </dgm:pt>
    <dgm:pt modelId="{41864ACA-B1B1-4211-9801-2B2F9E31255C}" type="pres">
      <dgm:prSet presAssocID="{B4C15B96-4F5E-4F27-BE18-73C21C01AD98}" presName="downArrow" presStyleLbl="node1" presStyleIdx="1" presStyleCnt="2" custLinFactNeighborX="-30167" custLinFactNeighborY="-1784"/>
      <dgm:spPr>
        <a:solidFill>
          <a:srgbClr val="FFC000"/>
        </a:solidFill>
        <a:ln>
          <a:solidFill>
            <a:schemeClr val="accent6">
              <a:lumMod val="75000"/>
            </a:schemeClr>
          </a:solidFill>
        </a:ln>
      </dgm:spPr>
    </dgm:pt>
    <dgm:pt modelId="{131CFABD-EB42-46F5-B239-F678CE64F335}" type="pres">
      <dgm:prSet presAssocID="{B4C15B96-4F5E-4F27-BE18-73C21C01AD98}" presName="downArrowText" presStyleLbl="revTx" presStyleIdx="1" presStyleCnt="2" custScaleX="109306" custScaleY="60505" custLinFactNeighborX="-4648" custLinFactNeighborY="4752">
        <dgm:presLayoutVars>
          <dgm:chMax val="0"/>
          <dgm:bulletEnabled val="1"/>
        </dgm:presLayoutVars>
      </dgm:prSet>
      <dgm:spPr/>
      <dgm:t>
        <a:bodyPr/>
        <a:lstStyle/>
        <a:p>
          <a:endParaRPr lang="en-US"/>
        </a:p>
      </dgm:t>
    </dgm:pt>
  </dgm:ptLst>
  <dgm:cxnLst>
    <dgm:cxn modelId="{159C124F-F116-4442-8FC4-732D98A65EB5}" srcId="{E07F83A1-AFD4-4FFE-92E9-B44AB7619976}" destId="{B4C15B96-4F5E-4F27-BE18-73C21C01AD98}" srcOrd="1" destOrd="0" parTransId="{311C9461-C9C0-4256-AFF7-A4524CA19D54}" sibTransId="{277AD96F-A64B-4870-8556-B6860E2AD35C}"/>
    <dgm:cxn modelId="{052CF817-8C38-47FE-B4DC-D0CAA7D06C2A}" type="presOf" srcId="{E07F83A1-AFD4-4FFE-92E9-B44AB7619976}" destId="{3FC1FF92-FF47-4DFB-8CBB-810AF57C0761}" srcOrd="0" destOrd="0" presId="urn:microsoft.com/office/officeart/2005/8/layout/arrow4"/>
    <dgm:cxn modelId="{4FD83EEE-E968-43E0-8286-771C35AB1615}" type="presOf" srcId="{DD9C6ED3-BDE0-478D-9757-7C31D552E994}" destId="{893269E6-CAF1-4AD8-B16C-5D1836472D41}" srcOrd="0" destOrd="0" presId="urn:microsoft.com/office/officeart/2005/8/layout/arrow4"/>
    <dgm:cxn modelId="{1F36173C-7BBE-429D-966B-6D08A878A932}" type="presOf" srcId="{B4C15B96-4F5E-4F27-BE18-73C21C01AD98}" destId="{131CFABD-EB42-46F5-B239-F678CE64F335}" srcOrd="0" destOrd="0" presId="urn:microsoft.com/office/officeart/2005/8/layout/arrow4"/>
    <dgm:cxn modelId="{0C5C2BD3-5174-4700-A7A6-AD0B677D43E0}" srcId="{E07F83A1-AFD4-4FFE-92E9-B44AB7619976}" destId="{DD9C6ED3-BDE0-478D-9757-7C31D552E994}" srcOrd="0" destOrd="0" parTransId="{3667008B-B42F-4431-967D-CCADEF9B5A3C}" sibTransId="{7FF6AC71-485C-40F9-B127-04E8B8F571F7}"/>
    <dgm:cxn modelId="{47CCA502-3FD9-46B1-B834-F5807E4978F3}" type="presParOf" srcId="{3FC1FF92-FF47-4DFB-8CBB-810AF57C0761}" destId="{4719F804-EC7E-4639-A2B8-7C4E0D5E3FBE}" srcOrd="0" destOrd="0" presId="urn:microsoft.com/office/officeart/2005/8/layout/arrow4"/>
    <dgm:cxn modelId="{E8B3B0B8-A841-4FD6-A172-58850E656A94}" type="presParOf" srcId="{3FC1FF92-FF47-4DFB-8CBB-810AF57C0761}" destId="{893269E6-CAF1-4AD8-B16C-5D1836472D41}" srcOrd="1" destOrd="0" presId="urn:microsoft.com/office/officeart/2005/8/layout/arrow4"/>
    <dgm:cxn modelId="{977F6204-2875-4310-AA2D-632A04F2DCAC}" type="presParOf" srcId="{3FC1FF92-FF47-4DFB-8CBB-810AF57C0761}" destId="{41864ACA-B1B1-4211-9801-2B2F9E31255C}" srcOrd="2" destOrd="0" presId="urn:microsoft.com/office/officeart/2005/8/layout/arrow4"/>
    <dgm:cxn modelId="{66DE304F-6E0D-49C5-A784-CDA2EADF78A1}" type="presParOf" srcId="{3FC1FF92-FF47-4DFB-8CBB-810AF57C0761}" destId="{131CFABD-EB42-46F5-B239-F678CE64F335}" srcOrd="3" destOrd="0" presId="urn:microsoft.com/office/officeart/2005/8/layout/arrow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9F804-EC7E-4639-A2B8-7C4E0D5E3FBE}">
      <dsp:nvSpPr>
        <dsp:cNvPr id="0" name=""/>
        <dsp:cNvSpPr/>
      </dsp:nvSpPr>
      <dsp:spPr>
        <a:xfrm>
          <a:off x="-4" y="0"/>
          <a:ext cx="1315329" cy="1459288"/>
        </a:xfrm>
        <a:prstGeom prst="upArrow">
          <a:avLst/>
        </a:prstGeom>
        <a:solidFill>
          <a:srgbClr val="92D050"/>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sp>
    <dsp:sp modelId="{893269E6-CAF1-4AD8-B16C-5D1836472D41}">
      <dsp:nvSpPr>
        <dsp:cNvPr id="0" name=""/>
        <dsp:cNvSpPr/>
      </dsp:nvSpPr>
      <dsp:spPr>
        <a:xfrm>
          <a:off x="1421711" y="357321"/>
          <a:ext cx="2524899" cy="744645"/>
        </a:xfrm>
        <a:prstGeom prst="rect">
          <a:avLst/>
        </a:prstGeom>
        <a:noFill/>
        <a:ln w="38100">
          <a:solidFill>
            <a:srgbClr val="00B050"/>
          </a:solid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Goals</a:t>
          </a:r>
        </a:p>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Target for improvement</a:t>
          </a:r>
        </a:p>
      </dsp:txBody>
      <dsp:txXfrm>
        <a:off x="1421711" y="357321"/>
        <a:ext cx="2524899" cy="744645"/>
      </dsp:txXfrm>
    </dsp:sp>
    <dsp:sp modelId="{41864ACA-B1B1-4211-9801-2B2F9E31255C}">
      <dsp:nvSpPr>
        <dsp:cNvPr id="0" name=""/>
        <dsp:cNvSpPr/>
      </dsp:nvSpPr>
      <dsp:spPr>
        <a:xfrm>
          <a:off x="0" y="1554862"/>
          <a:ext cx="1315329" cy="1459288"/>
        </a:xfrm>
        <a:prstGeom prst="downArrow">
          <a:avLst/>
        </a:prstGeom>
        <a:solidFill>
          <a:srgbClr val="FFC000"/>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131CFABD-EB42-46F5-B239-F678CE64F335}">
      <dsp:nvSpPr>
        <dsp:cNvPr id="0" name=""/>
        <dsp:cNvSpPr/>
      </dsp:nvSpPr>
      <dsp:spPr>
        <a:xfrm>
          <a:off x="1492045" y="1938414"/>
          <a:ext cx="2439790" cy="882942"/>
        </a:xfrm>
        <a:prstGeom prst="rect">
          <a:avLst/>
        </a:prstGeom>
        <a:noFill/>
        <a:ln w="38100">
          <a:solidFill>
            <a:schemeClr val="accent6">
              <a:lumMod val="75000"/>
            </a:schemeClr>
          </a:solid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Insititution-Set Standard</a:t>
          </a:r>
        </a:p>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The minimum level that ensures academic quality</a:t>
          </a:r>
        </a:p>
      </dsp:txBody>
      <dsp:txXfrm>
        <a:off x="1492045" y="1938414"/>
        <a:ext cx="2439790" cy="882942"/>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c:creator>
  <cp:lastModifiedBy>IE</cp:lastModifiedBy>
  <cp:revision>3</cp:revision>
  <cp:lastPrinted>2016-11-03T21:08:00Z</cp:lastPrinted>
  <dcterms:created xsi:type="dcterms:W3CDTF">2016-12-06T19:25:00Z</dcterms:created>
  <dcterms:modified xsi:type="dcterms:W3CDTF">2016-12-06T19:32:00Z</dcterms:modified>
</cp:coreProperties>
</file>