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79" w:rsidRDefault="00637479" w:rsidP="00637479">
      <w:pPr>
        <w:spacing w:after="0" w:line="240" w:lineRule="auto"/>
        <w:rPr>
          <w:rFonts w:cs="Times New Roman"/>
          <w:b/>
          <w:szCs w:val="24"/>
        </w:rPr>
      </w:pPr>
      <w:bookmarkStart w:id="0" w:name="_GoBack"/>
      <w:bookmarkEnd w:id="0"/>
      <w:r>
        <w:rPr>
          <w:noProof/>
        </w:rPr>
        <w:drawing>
          <wp:inline distT="0" distB="0" distL="0" distR="0">
            <wp:extent cx="2857500" cy="600075"/>
            <wp:effectExtent l="0" t="0" r="0" b="9525"/>
            <wp:docPr id="1" name="Picture 1" descr="Valle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llegecentral.com/lavc/UOU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p w:rsidR="00637479" w:rsidRDefault="00637479" w:rsidP="00637479">
      <w:pPr>
        <w:spacing w:after="0" w:line="240" w:lineRule="auto"/>
        <w:rPr>
          <w:rFonts w:cs="Times New Roman"/>
          <w:b/>
          <w:szCs w:val="24"/>
        </w:rPr>
      </w:pPr>
    </w:p>
    <w:p w:rsidR="00637479" w:rsidRPr="00A829DE" w:rsidRDefault="00637479" w:rsidP="00B4313A">
      <w:pPr>
        <w:pStyle w:val="Title"/>
      </w:pPr>
      <w:r w:rsidRPr="00A829DE">
        <w:t>Citizens Building Oversight Committee</w:t>
      </w:r>
    </w:p>
    <w:p w:rsidR="00637479" w:rsidRDefault="006E1721" w:rsidP="00B4313A">
      <w:pPr>
        <w:pStyle w:val="Date"/>
        <w:spacing w:after="0"/>
        <w:jc w:val="center"/>
      </w:pPr>
      <w:r>
        <w:t>January 9, 2018</w:t>
      </w:r>
    </w:p>
    <w:p w:rsidR="00637479" w:rsidRDefault="00637479" w:rsidP="00B4313A">
      <w:pPr>
        <w:spacing w:after="0" w:line="240" w:lineRule="auto"/>
        <w:jc w:val="center"/>
        <w:rPr>
          <w:rFonts w:cs="Times New Roman"/>
          <w:b/>
          <w:szCs w:val="24"/>
        </w:rPr>
      </w:pPr>
      <w:r>
        <w:rPr>
          <w:rFonts w:cs="Times New Roman"/>
          <w:b/>
          <w:szCs w:val="24"/>
        </w:rPr>
        <w:t>Minutes</w:t>
      </w:r>
    </w:p>
    <w:p w:rsidR="00637479" w:rsidRPr="00A829DE" w:rsidRDefault="00637479" w:rsidP="00B4313A">
      <w:pPr>
        <w:spacing w:after="0" w:line="240" w:lineRule="auto"/>
        <w:jc w:val="center"/>
        <w:rPr>
          <w:rFonts w:cs="Times New Roman"/>
          <w:b/>
          <w:szCs w:val="24"/>
        </w:rPr>
      </w:pPr>
      <w:r w:rsidRPr="00A829DE">
        <w:rPr>
          <w:rFonts w:cs="Times New Roman"/>
          <w:b/>
          <w:szCs w:val="24"/>
        </w:rPr>
        <w:t>President’s Conference Room</w:t>
      </w:r>
    </w:p>
    <w:p w:rsidR="00637479" w:rsidRDefault="00637479" w:rsidP="00637479">
      <w:pPr>
        <w:spacing w:after="0" w:line="240" w:lineRule="auto"/>
        <w:rPr>
          <w:rFonts w:cs="Times New Roman"/>
          <w:b/>
          <w:szCs w:val="24"/>
        </w:rPr>
      </w:pPr>
    </w:p>
    <w:p w:rsidR="007905EA" w:rsidRDefault="00637479" w:rsidP="00DB091B">
      <w:pPr>
        <w:pStyle w:val="BodyText"/>
        <w:rPr>
          <w:rFonts w:ascii="Calibri" w:hAnsi="Calibri" w:cs="Times New Roman"/>
          <w:szCs w:val="24"/>
        </w:rPr>
      </w:pPr>
      <w:r w:rsidRPr="00374D29">
        <w:rPr>
          <w:rStyle w:val="Heading1Char"/>
        </w:rPr>
        <w:t>Members</w:t>
      </w:r>
      <w:r w:rsidRPr="00D9737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ttendance list"/>
      </w:tblPr>
      <w:tblGrid>
        <w:gridCol w:w="3055"/>
        <w:gridCol w:w="4410"/>
      </w:tblGrid>
      <w:tr w:rsidR="0052775F" w:rsidTr="00477543">
        <w:trPr>
          <w:trHeight w:val="333"/>
          <w:tblHeader/>
          <w:jc w:val="center"/>
        </w:trPr>
        <w:tc>
          <w:tcPr>
            <w:tcW w:w="3055" w:type="dxa"/>
            <w:shd w:val="clear" w:color="auto" w:fill="E7E6E6" w:themeFill="background2"/>
          </w:tcPr>
          <w:p w:rsidR="0052775F" w:rsidRPr="0052775F" w:rsidRDefault="0052775F" w:rsidP="0052775F">
            <w:pPr>
              <w:jc w:val="center"/>
              <w:rPr>
                <w:rFonts w:ascii="Calibri" w:hAnsi="Calibri" w:cs="Times New Roman"/>
                <w:b/>
                <w:szCs w:val="24"/>
              </w:rPr>
            </w:pPr>
            <w:r w:rsidRPr="0052775F">
              <w:rPr>
                <w:rFonts w:ascii="Calibri" w:hAnsi="Calibri" w:cs="Times New Roman"/>
                <w:b/>
                <w:szCs w:val="24"/>
              </w:rPr>
              <w:t>Name</w:t>
            </w:r>
          </w:p>
        </w:tc>
        <w:tc>
          <w:tcPr>
            <w:tcW w:w="4410" w:type="dxa"/>
            <w:shd w:val="clear" w:color="auto" w:fill="E7E6E6" w:themeFill="background2"/>
          </w:tcPr>
          <w:p w:rsidR="0052775F" w:rsidRPr="0052775F" w:rsidRDefault="0052775F" w:rsidP="0052775F">
            <w:pPr>
              <w:jc w:val="center"/>
              <w:rPr>
                <w:rFonts w:ascii="Calibri" w:hAnsi="Calibri" w:cs="Times New Roman"/>
                <w:b/>
                <w:szCs w:val="24"/>
              </w:rPr>
            </w:pPr>
            <w:r w:rsidRPr="0052775F">
              <w:rPr>
                <w:rFonts w:ascii="Calibri" w:hAnsi="Calibri" w:cs="Times New Roman"/>
                <w:b/>
                <w:szCs w:val="24"/>
              </w:rPr>
              <w:t>Association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Pat Ballew</w:t>
            </w:r>
            <w:r w:rsidRPr="00D97371">
              <w:rPr>
                <w:rFonts w:ascii="Calibri" w:hAnsi="Calibri" w:cs="Times New Roman"/>
                <w:b/>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Member of the College Foundation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Kevin Ary</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Member at Large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Eric Bubbers</w:t>
            </w:r>
            <w:r w:rsidR="006E1721">
              <w:rPr>
                <w:rFonts w:ascii="Calibri" w:hAnsi="Calibri" w:cs="Times New Roman"/>
                <w:szCs w:val="24"/>
              </w:rPr>
              <w:t xml:space="preserve"> </w:t>
            </w:r>
            <w:r w:rsidR="006E1721" w:rsidRPr="00D97371">
              <w:rPr>
                <w:rFonts w:ascii="Calibri" w:hAnsi="Calibri" w:cs="Times New Roman"/>
                <w:szCs w:val="24"/>
              </w:rPr>
              <w:t>(</w:t>
            </w:r>
            <w:r w:rsidR="006E1721" w:rsidRPr="00D97371">
              <w:rPr>
                <w:rFonts w:ascii="Calibri" w:hAnsi="Calibri" w:cs="Times New Roman"/>
                <w:i/>
                <w:szCs w:val="24"/>
              </w:rPr>
              <w:t>Absent</w:t>
            </w:r>
            <w:r w:rsidR="006E1721" w:rsidRPr="00D97371">
              <w:rPr>
                <w:rFonts w:ascii="Calibri" w:hAnsi="Calibri" w:cs="Times New Roman"/>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LACCD Representative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Asta Criss</w:t>
            </w:r>
            <w:r w:rsidR="006E1721">
              <w:rPr>
                <w:rFonts w:ascii="Calibri" w:hAnsi="Calibri" w:cs="Times New Roman"/>
                <w:szCs w:val="24"/>
              </w:rPr>
              <w:t xml:space="preserve"> </w:t>
            </w:r>
            <w:r w:rsidR="006E1721" w:rsidRPr="00D97371">
              <w:rPr>
                <w:rFonts w:ascii="Calibri" w:hAnsi="Calibri" w:cs="Times New Roman"/>
                <w:szCs w:val="24"/>
              </w:rPr>
              <w:t>(</w:t>
            </w:r>
            <w:r w:rsidR="006E1721" w:rsidRPr="00D97371">
              <w:rPr>
                <w:rFonts w:ascii="Calibri" w:hAnsi="Calibri" w:cs="Times New Roman"/>
                <w:i/>
                <w:szCs w:val="24"/>
              </w:rPr>
              <w:t>Absent</w:t>
            </w:r>
            <w:r w:rsidR="006E1721" w:rsidRPr="00D97371">
              <w:rPr>
                <w:rFonts w:ascii="Calibri" w:hAnsi="Calibri" w:cs="Times New Roman"/>
                <w:szCs w:val="24"/>
              </w:rPr>
              <w: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Valley Glen Neighborhood Association</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color w:val="000000"/>
                <w:kern w:val="28"/>
                <w:szCs w:val="24"/>
              </w:rPr>
              <w:t>Lisa Cahan Davis</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color w:val="000000"/>
                <w:kern w:val="28"/>
                <w:szCs w:val="24"/>
              </w:rPr>
              <w:t>Studio City Neighborhood Council</w:t>
            </w:r>
          </w:p>
        </w:tc>
      </w:tr>
      <w:tr w:rsidR="007905EA" w:rsidTr="00374D29">
        <w:trPr>
          <w:jc w:val="center"/>
        </w:trPr>
        <w:tc>
          <w:tcPr>
            <w:tcW w:w="3055" w:type="dxa"/>
          </w:tcPr>
          <w:p w:rsidR="007905EA" w:rsidRDefault="006E1721" w:rsidP="007905EA">
            <w:pPr>
              <w:rPr>
                <w:rFonts w:ascii="Calibri" w:hAnsi="Calibri" w:cs="Times New Roman"/>
                <w:b/>
                <w:szCs w:val="24"/>
              </w:rPr>
            </w:pPr>
            <w:r>
              <w:rPr>
                <w:rFonts w:ascii="Calibri" w:hAnsi="Calibri" w:cs="Times New Roman"/>
                <w:szCs w:val="24"/>
              </w:rPr>
              <w:t>Carlos Ferreyra</w:t>
            </w:r>
            <w:r w:rsidR="00074638">
              <w:rPr>
                <w:rFonts w:ascii="Calibri" w:hAnsi="Calibri" w:cs="Times New Roman"/>
                <w:szCs w:val="24"/>
              </w:rPr>
              <w:t xml:space="preserve"> (</w:t>
            </w:r>
            <w:r w:rsidR="00074638" w:rsidRPr="00074638">
              <w:rPr>
                <w:rFonts w:ascii="Calibri" w:hAnsi="Calibri" w:cs="Times New Roman"/>
                <w:i/>
                <w:szCs w:val="24"/>
              </w:rPr>
              <w:t>Absent)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Greater Valley Glen Neighborhood Council</w:t>
            </w:r>
          </w:p>
        </w:tc>
      </w:tr>
      <w:tr w:rsidR="00B0204D" w:rsidTr="00B0204D">
        <w:trPr>
          <w:trHeight w:val="315"/>
          <w:jc w:val="center"/>
        </w:trPr>
        <w:tc>
          <w:tcPr>
            <w:tcW w:w="3055" w:type="dxa"/>
          </w:tcPr>
          <w:p w:rsidR="00B0204D" w:rsidRPr="00D97371" w:rsidRDefault="00B0204D" w:rsidP="007905EA">
            <w:pPr>
              <w:rPr>
                <w:rFonts w:ascii="Calibri" w:hAnsi="Calibri" w:cs="Times New Roman"/>
                <w:szCs w:val="24"/>
              </w:rPr>
            </w:pPr>
            <w:r>
              <w:rPr>
                <w:rFonts w:ascii="Calibri" w:hAnsi="Calibri" w:cs="Times New Roman"/>
                <w:szCs w:val="24"/>
              </w:rPr>
              <w:t>Waltona Manion</w:t>
            </w:r>
          </w:p>
        </w:tc>
        <w:tc>
          <w:tcPr>
            <w:tcW w:w="4410" w:type="dxa"/>
          </w:tcPr>
          <w:p w:rsidR="00B0204D" w:rsidRPr="00D97371" w:rsidRDefault="00B0204D" w:rsidP="00637479">
            <w:pPr>
              <w:jc w:val="both"/>
              <w:rPr>
                <w:rFonts w:ascii="Calibri" w:hAnsi="Calibri" w:cs="Times New Roman"/>
                <w:szCs w:val="24"/>
              </w:rPr>
            </w:pPr>
            <w:r>
              <w:rPr>
                <w:rFonts w:ascii="Calibri" w:hAnsi="Calibri" w:cs="Times New Roman"/>
                <w:szCs w:val="24"/>
              </w:rPr>
              <w:t>Member at Large</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Diedra Stark</w:t>
            </w:r>
            <w:r w:rsidR="00B0204D">
              <w:rPr>
                <w:rFonts w:ascii="Calibri" w:hAnsi="Calibri" w:cs="Times New Roman"/>
                <w:szCs w:val="24"/>
              </w:rPr>
              <w:t xml:space="preserve"> </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Retirees Association of LAVC</w:t>
            </w:r>
          </w:p>
        </w:tc>
      </w:tr>
      <w:tr w:rsidR="007905EA" w:rsidTr="00374D29">
        <w:trPr>
          <w:jc w:val="center"/>
        </w:trPr>
        <w:tc>
          <w:tcPr>
            <w:tcW w:w="3055" w:type="dxa"/>
          </w:tcPr>
          <w:p w:rsidR="007905EA" w:rsidRDefault="00B0204D" w:rsidP="007905EA">
            <w:pPr>
              <w:rPr>
                <w:rFonts w:ascii="Calibri" w:hAnsi="Calibri" w:cs="Times New Roman"/>
                <w:b/>
                <w:szCs w:val="24"/>
              </w:rPr>
            </w:pPr>
            <w:r>
              <w:rPr>
                <w:rFonts w:ascii="Calibri" w:hAnsi="Calibri" w:cs="Times New Roman"/>
                <w:szCs w:val="24"/>
              </w:rPr>
              <w:t>Jo Ann Rivas</w:t>
            </w:r>
          </w:p>
        </w:tc>
        <w:tc>
          <w:tcPr>
            <w:tcW w:w="4410" w:type="dxa"/>
          </w:tcPr>
          <w:p w:rsidR="007905EA" w:rsidRDefault="00B0204D" w:rsidP="00637479">
            <w:pPr>
              <w:jc w:val="both"/>
              <w:rPr>
                <w:rFonts w:ascii="Calibri" w:hAnsi="Calibri" w:cs="Times New Roman"/>
                <w:b/>
                <w:szCs w:val="24"/>
              </w:rPr>
            </w:pPr>
            <w:r>
              <w:rPr>
                <w:rFonts w:ascii="Calibri" w:hAnsi="Calibri" w:cs="Times New Roman"/>
                <w:szCs w:val="24"/>
              </w:rPr>
              <w:t>NOHO Neighborhood Council</w:t>
            </w:r>
          </w:p>
        </w:tc>
      </w:tr>
      <w:tr w:rsidR="007905EA" w:rsidTr="00374D29">
        <w:trPr>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Vacant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Valley Village Neighborhood Council</w:t>
            </w:r>
          </w:p>
        </w:tc>
      </w:tr>
      <w:tr w:rsidR="007905EA" w:rsidTr="00B0204D">
        <w:trPr>
          <w:trHeight w:val="297"/>
          <w:jc w:val="center"/>
        </w:trPr>
        <w:tc>
          <w:tcPr>
            <w:tcW w:w="3055" w:type="dxa"/>
          </w:tcPr>
          <w:p w:rsidR="007905EA" w:rsidRDefault="007905EA" w:rsidP="007905EA">
            <w:pPr>
              <w:rPr>
                <w:rFonts w:ascii="Calibri" w:hAnsi="Calibri" w:cs="Times New Roman"/>
                <w:b/>
                <w:szCs w:val="24"/>
              </w:rPr>
            </w:pPr>
            <w:r w:rsidRPr="00D97371">
              <w:rPr>
                <w:rFonts w:ascii="Calibri" w:hAnsi="Calibri" w:cs="Times New Roman"/>
                <w:szCs w:val="24"/>
              </w:rPr>
              <w:t>Vacant</w:t>
            </w:r>
          </w:p>
        </w:tc>
        <w:tc>
          <w:tcPr>
            <w:tcW w:w="4410" w:type="dxa"/>
          </w:tcPr>
          <w:p w:rsidR="007905EA" w:rsidRDefault="007905EA" w:rsidP="00637479">
            <w:pPr>
              <w:jc w:val="both"/>
              <w:rPr>
                <w:rFonts w:ascii="Calibri" w:hAnsi="Calibri" w:cs="Times New Roman"/>
                <w:b/>
                <w:szCs w:val="24"/>
              </w:rPr>
            </w:pPr>
            <w:r w:rsidRPr="00D97371">
              <w:rPr>
                <w:rFonts w:ascii="Calibri" w:hAnsi="Calibri" w:cs="Times New Roman"/>
                <w:szCs w:val="24"/>
              </w:rPr>
              <w:t>Sherman Oaks Neighborhood Council</w:t>
            </w:r>
          </w:p>
        </w:tc>
      </w:tr>
      <w:tr w:rsidR="00B0204D" w:rsidTr="00B0204D">
        <w:trPr>
          <w:trHeight w:val="432"/>
          <w:jc w:val="center"/>
        </w:trPr>
        <w:tc>
          <w:tcPr>
            <w:tcW w:w="3055" w:type="dxa"/>
          </w:tcPr>
          <w:p w:rsidR="00B0204D" w:rsidRDefault="00B0204D" w:rsidP="00B0204D">
            <w:pPr>
              <w:rPr>
                <w:rFonts w:ascii="Calibri" w:hAnsi="Calibri" w:cs="Times New Roman"/>
                <w:b/>
                <w:szCs w:val="24"/>
              </w:rPr>
            </w:pPr>
            <w:r w:rsidRPr="00D97371">
              <w:rPr>
                <w:rFonts w:ascii="Calibri" w:hAnsi="Calibri" w:cs="Times New Roman"/>
                <w:szCs w:val="24"/>
              </w:rPr>
              <w:t>Vacant</w:t>
            </w:r>
          </w:p>
        </w:tc>
        <w:tc>
          <w:tcPr>
            <w:tcW w:w="4410" w:type="dxa"/>
          </w:tcPr>
          <w:p w:rsidR="00B0204D" w:rsidRDefault="00B0204D" w:rsidP="00B0204D">
            <w:pPr>
              <w:jc w:val="both"/>
              <w:rPr>
                <w:rFonts w:ascii="Calibri" w:hAnsi="Calibri" w:cs="Times New Roman"/>
                <w:b/>
                <w:szCs w:val="24"/>
              </w:rPr>
            </w:pPr>
            <w:r w:rsidRPr="00D97371">
              <w:rPr>
                <w:rFonts w:ascii="Calibri" w:hAnsi="Calibri" w:cs="Times New Roman"/>
                <w:szCs w:val="24"/>
              </w:rPr>
              <w:t>Student Representative</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sidRPr="0052775F">
              <w:rPr>
                <w:rFonts w:ascii="Calibri" w:hAnsi="Calibri" w:cs="Times New Roman"/>
                <w:b/>
                <w:szCs w:val="24"/>
              </w:rPr>
              <w:t>Ex-Officio:</w:t>
            </w:r>
          </w:p>
        </w:tc>
        <w:tc>
          <w:tcPr>
            <w:tcW w:w="4410" w:type="dxa"/>
          </w:tcPr>
          <w:p w:rsidR="00B0204D" w:rsidRPr="00D97371" w:rsidRDefault="00B0204D" w:rsidP="00B0204D">
            <w:pPr>
              <w:jc w:val="both"/>
              <w:rPr>
                <w:rFonts w:ascii="Calibri" w:hAnsi="Calibri" w:cs="Times New Roman"/>
                <w:szCs w:val="24"/>
              </w:rPr>
            </w:pPr>
          </w:p>
        </w:tc>
      </w:tr>
      <w:tr w:rsidR="00B0204D" w:rsidTr="00B0204D">
        <w:trPr>
          <w:trHeight w:val="360"/>
          <w:jc w:val="center"/>
        </w:trPr>
        <w:tc>
          <w:tcPr>
            <w:tcW w:w="3055" w:type="dxa"/>
          </w:tcPr>
          <w:p w:rsidR="00B0204D" w:rsidRPr="0052775F" w:rsidRDefault="00B0204D" w:rsidP="00B0204D">
            <w:pPr>
              <w:rPr>
                <w:rFonts w:ascii="Calibri" w:hAnsi="Calibri" w:cs="Times New Roman"/>
                <w:szCs w:val="24"/>
              </w:rPr>
            </w:pPr>
            <w:r>
              <w:rPr>
                <w:rFonts w:ascii="Calibri" w:hAnsi="Calibri" w:cs="Times New Roman"/>
                <w:szCs w:val="24"/>
              </w:rPr>
              <w:t>Erika Endrijonas</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College President</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Pr>
                <w:rFonts w:ascii="Calibri" w:hAnsi="Calibri" w:cs="Times New Roman"/>
                <w:b/>
                <w:szCs w:val="24"/>
              </w:rPr>
              <w:t>Resource:</w:t>
            </w:r>
          </w:p>
        </w:tc>
        <w:tc>
          <w:tcPr>
            <w:tcW w:w="4410" w:type="dxa"/>
          </w:tcPr>
          <w:p w:rsidR="00B0204D" w:rsidRPr="00D97371" w:rsidRDefault="00B0204D" w:rsidP="00B0204D">
            <w:pPr>
              <w:jc w:val="both"/>
              <w:rPr>
                <w:rFonts w:ascii="Calibri" w:hAnsi="Calibri" w:cs="Times New Roman"/>
                <w:szCs w:val="24"/>
              </w:rPr>
            </w:pPr>
          </w:p>
        </w:tc>
      </w:tr>
      <w:tr w:rsidR="00B0204D" w:rsidTr="00374D29">
        <w:trPr>
          <w:jc w:val="center"/>
        </w:trPr>
        <w:tc>
          <w:tcPr>
            <w:tcW w:w="3055" w:type="dxa"/>
          </w:tcPr>
          <w:p w:rsidR="00B0204D" w:rsidRPr="0052775F" w:rsidRDefault="00B0204D" w:rsidP="00074638">
            <w:pPr>
              <w:rPr>
                <w:rFonts w:ascii="Calibri" w:hAnsi="Calibri" w:cs="Times New Roman"/>
                <w:b/>
                <w:szCs w:val="24"/>
              </w:rPr>
            </w:pPr>
            <w:r>
              <w:rPr>
                <w:rFonts w:ascii="Calibri" w:hAnsi="Calibri" w:cs="Times New Roman"/>
                <w:szCs w:val="24"/>
              </w:rPr>
              <w:t>Mark Strauss</w:t>
            </w:r>
            <w:r w:rsidR="006E1721">
              <w:rPr>
                <w:rFonts w:ascii="Calibri" w:hAnsi="Calibri" w:cs="Times New Roman"/>
                <w:szCs w:val="24"/>
              </w:rPr>
              <w:t xml:space="preserve"> </w:t>
            </w:r>
          </w:p>
        </w:tc>
        <w:tc>
          <w:tcPr>
            <w:tcW w:w="4410" w:type="dxa"/>
          </w:tcPr>
          <w:p w:rsidR="00B0204D" w:rsidRPr="00D97371" w:rsidRDefault="00B0204D" w:rsidP="00B0204D">
            <w:pPr>
              <w:jc w:val="both"/>
              <w:rPr>
                <w:rFonts w:ascii="Calibri" w:hAnsi="Calibri" w:cs="Times New Roman"/>
                <w:szCs w:val="24"/>
              </w:rPr>
            </w:pPr>
            <w:r w:rsidRPr="00D97371">
              <w:rPr>
                <w:rFonts w:ascii="Calibri" w:hAnsi="Calibri" w:cs="Times New Roman"/>
                <w:szCs w:val="24"/>
              </w:rPr>
              <w:t>College Project Director</w:t>
            </w:r>
          </w:p>
        </w:tc>
      </w:tr>
      <w:tr w:rsidR="00B0204D" w:rsidTr="00374D29">
        <w:trPr>
          <w:jc w:val="center"/>
        </w:trPr>
        <w:tc>
          <w:tcPr>
            <w:tcW w:w="3055" w:type="dxa"/>
          </w:tcPr>
          <w:p w:rsidR="00B0204D" w:rsidRPr="0052775F" w:rsidRDefault="00B0204D" w:rsidP="00B0204D">
            <w:pPr>
              <w:rPr>
                <w:rFonts w:ascii="Calibri" w:hAnsi="Calibri" w:cs="Times New Roman"/>
                <w:b/>
                <w:szCs w:val="24"/>
              </w:rPr>
            </w:pPr>
            <w:r w:rsidRPr="00D97371">
              <w:rPr>
                <w:rFonts w:ascii="Calibri" w:hAnsi="Calibri" w:cs="Times New Roman"/>
                <w:szCs w:val="24"/>
              </w:rPr>
              <w:t xml:space="preserve">Mike Lee </w:t>
            </w:r>
            <w:r w:rsidR="00074638" w:rsidRPr="00D97371">
              <w:rPr>
                <w:rFonts w:ascii="Calibri" w:hAnsi="Calibri" w:cs="Times New Roman"/>
                <w:szCs w:val="24"/>
              </w:rPr>
              <w:t>(</w:t>
            </w:r>
            <w:r w:rsidR="00074638" w:rsidRPr="00D97371">
              <w:rPr>
                <w:rFonts w:ascii="Calibri" w:hAnsi="Calibri" w:cs="Times New Roman"/>
                <w:i/>
                <w:szCs w:val="24"/>
              </w:rPr>
              <w:t>Absent</w:t>
            </w:r>
            <w:r w:rsidR="00074638" w:rsidRPr="00D97371">
              <w:rPr>
                <w:rFonts w:ascii="Calibri" w:hAnsi="Calibri" w:cs="Times New Roman"/>
                <w:szCs w:val="24"/>
              </w:rPr>
              <w:t>)</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Vice President of Administrative Services</w:t>
            </w:r>
          </w:p>
        </w:tc>
      </w:tr>
      <w:tr w:rsidR="00B0204D" w:rsidTr="003F646A">
        <w:trPr>
          <w:trHeight w:val="477"/>
          <w:jc w:val="center"/>
        </w:trPr>
        <w:tc>
          <w:tcPr>
            <w:tcW w:w="3055" w:type="dxa"/>
          </w:tcPr>
          <w:p w:rsidR="00B0204D" w:rsidRPr="0052775F" w:rsidRDefault="00B0204D" w:rsidP="00B0204D">
            <w:pPr>
              <w:rPr>
                <w:rFonts w:ascii="Calibri" w:hAnsi="Calibri" w:cs="Times New Roman"/>
                <w:b/>
                <w:szCs w:val="24"/>
              </w:rPr>
            </w:pPr>
            <w:r w:rsidRPr="00D97371">
              <w:rPr>
                <w:rFonts w:ascii="Calibri" w:hAnsi="Calibri" w:cs="Times New Roman"/>
                <w:szCs w:val="24"/>
              </w:rPr>
              <w:t xml:space="preserve">Armine </w:t>
            </w:r>
            <w:r>
              <w:rPr>
                <w:rFonts w:ascii="Calibri" w:hAnsi="Calibri" w:cs="Times New Roman"/>
                <w:szCs w:val="24"/>
              </w:rPr>
              <w:t>Galukyan</w:t>
            </w:r>
          </w:p>
        </w:tc>
        <w:tc>
          <w:tcPr>
            <w:tcW w:w="4410" w:type="dxa"/>
          </w:tcPr>
          <w:p w:rsidR="00B0204D" w:rsidRPr="00D97371" w:rsidRDefault="00B0204D" w:rsidP="00B0204D">
            <w:pPr>
              <w:jc w:val="both"/>
              <w:rPr>
                <w:rFonts w:ascii="Calibri" w:hAnsi="Calibri" w:cs="Times New Roman"/>
                <w:szCs w:val="24"/>
              </w:rPr>
            </w:pPr>
            <w:r>
              <w:rPr>
                <w:rFonts w:ascii="Calibri" w:hAnsi="Calibri" w:cs="Times New Roman"/>
                <w:szCs w:val="24"/>
              </w:rPr>
              <w:t>Executive Assistant</w:t>
            </w:r>
          </w:p>
        </w:tc>
      </w:tr>
    </w:tbl>
    <w:p w:rsidR="00637479" w:rsidRPr="00D97371" w:rsidRDefault="00637479" w:rsidP="00DB091B">
      <w:pPr>
        <w:pStyle w:val="BodyText"/>
      </w:pPr>
      <w:r w:rsidRPr="00D97371">
        <w:t>Chair*</w:t>
      </w:r>
    </w:p>
    <w:p w:rsidR="00637479" w:rsidRPr="001C1A80" w:rsidRDefault="00637479" w:rsidP="00B4313A">
      <w:pPr>
        <w:pStyle w:val="Heading1"/>
      </w:pPr>
      <w:r w:rsidRPr="001C1A80">
        <w:t xml:space="preserve">Welcome and Introductions </w:t>
      </w:r>
    </w:p>
    <w:p w:rsidR="00C57585" w:rsidRDefault="00AD12F8" w:rsidP="00DB091B">
      <w:pPr>
        <w:pStyle w:val="BodyText"/>
      </w:pPr>
      <w:r w:rsidRPr="001C1A80">
        <w:t>Pat Ballew called t</w:t>
      </w:r>
      <w:r w:rsidR="000C6F5F" w:rsidRPr="001C1A80">
        <w:t>he meeting to order at 6:0</w:t>
      </w:r>
      <w:r w:rsidR="00F919AA">
        <w:t>7</w:t>
      </w:r>
      <w:r w:rsidR="00C57585">
        <w:t xml:space="preserve">PM. </w:t>
      </w:r>
    </w:p>
    <w:p w:rsidR="00637479" w:rsidRPr="001C1A80" w:rsidRDefault="00637479" w:rsidP="00B4313A">
      <w:pPr>
        <w:pStyle w:val="Heading1"/>
      </w:pPr>
      <w:r w:rsidRPr="001C1A80">
        <w:t>Public Comments</w:t>
      </w:r>
    </w:p>
    <w:p w:rsidR="00023FE6" w:rsidRDefault="00F919AA" w:rsidP="004C082B">
      <w:r>
        <w:t>No Public Comments.</w:t>
      </w:r>
    </w:p>
    <w:p w:rsidR="00637479" w:rsidRPr="001C1A80" w:rsidRDefault="00637479" w:rsidP="00B4313A">
      <w:pPr>
        <w:pStyle w:val="Heading1"/>
      </w:pPr>
      <w:r w:rsidRPr="001C1A80">
        <w:t>Approval of Minutes</w:t>
      </w:r>
    </w:p>
    <w:p w:rsidR="00AD12F8" w:rsidRPr="001C1A80" w:rsidRDefault="00AD12F8" w:rsidP="00C12D88">
      <w:r w:rsidRPr="001C1A80">
        <w:t xml:space="preserve">A motion was made and </w:t>
      </w:r>
      <w:r w:rsidR="00672792">
        <w:t xml:space="preserve">unanimously </w:t>
      </w:r>
      <w:r w:rsidRPr="001C1A80">
        <w:t xml:space="preserve">passed for the approval of the </w:t>
      </w:r>
      <w:r w:rsidR="00F919AA">
        <w:t>November 11</w:t>
      </w:r>
      <w:r w:rsidR="00B4313A">
        <w:t>, 2017 minutes.</w:t>
      </w:r>
    </w:p>
    <w:p w:rsidR="00637479" w:rsidRPr="001C1A80" w:rsidRDefault="00637479" w:rsidP="00B4313A">
      <w:pPr>
        <w:pStyle w:val="Heading1"/>
      </w:pPr>
      <w:r w:rsidRPr="001C1A80">
        <w:lastRenderedPageBreak/>
        <w:t>C</w:t>
      </w:r>
      <w:r w:rsidR="00374D29">
        <w:t>hairperson’s Report- Pat Ballew</w:t>
      </w:r>
    </w:p>
    <w:p w:rsidR="00B72170" w:rsidRPr="00C12D88" w:rsidRDefault="00F919AA" w:rsidP="00F919AA">
      <w:pPr>
        <w:pStyle w:val="ListParagraph"/>
        <w:numPr>
          <w:ilvl w:val="0"/>
          <w:numId w:val="14"/>
        </w:numPr>
      </w:pPr>
      <w:r>
        <w:t xml:space="preserve">Ballew made an announcement about the upcoming town hall meeting on homelessness. Councilmember </w:t>
      </w:r>
      <w:r w:rsidR="004D4D66">
        <w:t xml:space="preserve">Paul </w:t>
      </w:r>
      <w:r>
        <w:t xml:space="preserve">Krekorian will be holding a </w:t>
      </w:r>
      <w:r w:rsidRPr="00D92205">
        <w:t>town hall meeting</w:t>
      </w:r>
      <w:r>
        <w:t xml:space="preserve"> on January 18, 2018,</w:t>
      </w:r>
      <w:r w:rsidR="00D92205">
        <w:t xml:space="preserve"> at Los Angeles Valley College; additional details can be found on their </w:t>
      </w:r>
      <w:hyperlink r:id="rId9" w:history="1">
        <w:r w:rsidR="00D92205" w:rsidRPr="00D92205">
          <w:rPr>
            <w:rStyle w:val="Hyperlink"/>
          </w:rPr>
          <w:t>website</w:t>
        </w:r>
      </w:hyperlink>
      <w:r w:rsidR="00D92205">
        <w:t xml:space="preserve">. </w:t>
      </w:r>
    </w:p>
    <w:p w:rsidR="00637479" w:rsidRPr="001C1A80" w:rsidRDefault="00637479" w:rsidP="00B4313A">
      <w:pPr>
        <w:pStyle w:val="Heading1"/>
      </w:pPr>
      <w:r w:rsidRPr="001C1A80">
        <w:t>Update on District Citizen’s Oversight Committee- Eric Bubbers</w:t>
      </w:r>
    </w:p>
    <w:p w:rsidR="00F919AA" w:rsidRDefault="00C12D88" w:rsidP="00C12D88">
      <w:r w:rsidRPr="001D3C85">
        <w:t xml:space="preserve">Eric Bubbers </w:t>
      </w:r>
      <w:r w:rsidR="00061718">
        <w:t>was not present at this meeting; item floored for the next meeting.</w:t>
      </w:r>
    </w:p>
    <w:p w:rsidR="0054248A" w:rsidRPr="0054248A" w:rsidRDefault="00637479" w:rsidP="0054248A">
      <w:pPr>
        <w:pStyle w:val="Heading1"/>
      </w:pPr>
      <w:r w:rsidRPr="001C1A80">
        <w:t>Building Construction Update- Mark Strauss</w:t>
      </w:r>
    </w:p>
    <w:p w:rsidR="005D2B8A" w:rsidRPr="006F69CD" w:rsidRDefault="005D2B8A" w:rsidP="005D2B8A">
      <w:pPr>
        <w:pStyle w:val="ListParagraph"/>
        <w:numPr>
          <w:ilvl w:val="0"/>
          <w:numId w:val="2"/>
        </w:numPr>
        <w:rPr>
          <w:b/>
          <w:szCs w:val="24"/>
        </w:rPr>
      </w:pPr>
      <w:r w:rsidRPr="006F69CD">
        <w:rPr>
          <w:b/>
          <w:szCs w:val="24"/>
        </w:rPr>
        <w:t>Valley Academic and Cultural Center (“VACC”) Project</w:t>
      </w:r>
    </w:p>
    <w:p w:rsidR="00D92205" w:rsidRDefault="00D92205" w:rsidP="00D92205">
      <w:pPr>
        <w:pStyle w:val="ListParagraph"/>
        <w:numPr>
          <w:ilvl w:val="1"/>
          <w:numId w:val="2"/>
        </w:numPr>
      </w:pPr>
      <w:r>
        <w:t xml:space="preserve">The project is currently 27 percent complete. The structural steel is up on the East wing of building and the basement on the West side has been in large completed. The crew is currently working on pouring concrete on the first floor. </w:t>
      </w:r>
    </w:p>
    <w:p w:rsidR="002D5FBC" w:rsidRDefault="002D5FBC" w:rsidP="002D5FBC">
      <w:pPr>
        <w:pStyle w:val="ListParagraph"/>
        <w:ind w:left="1440"/>
      </w:pPr>
    </w:p>
    <w:p w:rsidR="000E7C13" w:rsidRPr="002D5FBC" w:rsidRDefault="005D2B8A" w:rsidP="007601DE">
      <w:pPr>
        <w:pStyle w:val="ListParagraph"/>
        <w:numPr>
          <w:ilvl w:val="0"/>
          <w:numId w:val="2"/>
        </w:numPr>
        <w:spacing w:after="200" w:line="276" w:lineRule="auto"/>
      </w:pPr>
      <w:r w:rsidRPr="002D5FBC">
        <w:rPr>
          <w:b/>
          <w:szCs w:val="24"/>
        </w:rPr>
        <w:t xml:space="preserve">ADA </w:t>
      </w:r>
      <w:r w:rsidR="007601DE">
        <w:rPr>
          <w:b/>
          <w:szCs w:val="24"/>
        </w:rPr>
        <w:t xml:space="preserve">&amp; Allied Health Bundle </w:t>
      </w:r>
      <w:r w:rsidRPr="002D5FBC">
        <w:rPr>
          <w:b/>
          <w:szCs w:val="24"/>
        </w:rPr>
        <w:t>Project</w:t>
      </w:r>
    </w:p>
    <w:p w:rsidR="007601DE" w:rsidRDefault="005D2B8A" w:rsidP="000E7C13">
      <w:pPr>
        <w:pStyle w:val="ListParagraph"/>
        <w:numPr>
          <w:ilvl w:val="1"/>
          <w:numId w:val="2"/>
        </w:numPr>
        <w:spacing w:after="200" w:line="276" w:lineRule="auto"/>
      </w:pPr>
      <w:r w:rsidRPr="002D5FBC">
        <w:t xml:space="preserve">This project </w:t>
      </w:r>
      <w:r w:rsidR="007601DE">
        <w:t xml:space="preserve">has officially gone out to bid and consists of multiple small projects; the </w:t>
      </w:r>
      <w:r w:rsidRPr="002D5FBC">
        <w:t xml:space="preserve">bundle </w:t>
      </w:r>
      <w:r w:rsidR="007601DE">
        <w:t>includes</w:t>
      </w:r>
      <w:r w:rsidRPr="002D5FBC">
        <w:t xml:space="preserve"> the following: 1) complete the wing in the North Gym, 2) convert the tap studio, 3) remove asbestos from the NW corner of the South Gym, 4) the Allied Health weatherization project, and 5) the </w:t>
      </w:r>
      <w:r w:rsidR="007601DE">
        <w:t xml:space="preserve">campus wide </w:t>
      </w:r>
      <w:r w:rsidRPr="002D5FBC">
        <w:t xml:space="preserve">ADA project. </w:t>
      </w:r>
    </w:p>
    <w:p w:rsidR="005D2B8A" w:rsidRDefault="007601DE" w:rsidP="000E7C13">
      <w:pPr>
        <w:pStyle w:val="ListParagraph"/>
        <w:numPr>
          <w:ilvl w:val="1"/>
          <w:numId w:val="2"/>
        </w:numPr>
        <w:spacing w:after="200" w:line="276" w:lineRule="auto"/>
      </w:pPr>
      <w:r>
        <w:t xml:space="preserve">The total project span is two years. </w:t>
      </w:r>
      <w:r w:rsidR="00244ED1">
        <w:t>The current primary focus is the Allied Health building and the two slopped lecture hall</w:t>
      </w:r>
      <w:r w:rsidR="004D4D66">
        <w:t>s</w:t>
      </w:r>
      <w:r w:rsidR="00244ED1">
        <w:t xml:space="preserve">. </w:t>
      </w:r>
    </w:p>
    <w:p w:rsidR="00244ED1" w:rsidRPr="002D5FBC" w:rsidRDefault="00244ED1" w:rsidP="000E7C13">
      <w:pPr>
        <w:pStyle w:val="ListParagraph"/>
        <w:numPr>
          <w:ilvl w:val="1"/>
          <w:numId w:val="2"/>
        </w:numPr>
        <w:spacing w:after="200" w:line="276" w:lineRule="auto"/>
      </w:pPr>
      <w:r>
        <w:t>Almost all of Prop A and AA money has been spent and they are trying to get the last of it spent and closed out before June 2018.</w:t>
      </w:r>
    </w:p>
    <w:p w:rsidR="001E5D6A" w:rsidRPr="002D5FBC" w:rsidRDefault="001E5D6A" w:rsidP="001E5D6A">
      <w:pPr>
        <w:pStyle w:val="ListParagraph"/>
        <w:spacing w:after="200" w:line="276" w:lineRule="auto"/>
        <w:ind w:left="1440"/>
      </w:pPr>
    </w:p>
    <w:p w:rsidR="00DC68AE" w:rsidRPr="00791C6E" w:rsidRDefault="00791C6E" w:rsidP="00DC68AE">
      <w:pPr>
        <w:pStyle w:val="ListParagraph"/>
        <w:numPr>
          <w:ilvl w:val="0"/>
          <w:numId w:val="2"/>
        </w:numPr>
        <w:rPr>
          <w:szCs w:val="24"/>
        </w:rPr>
      </w:pPr>
      <w:r>
        <w:rPr>
          <w:b/>
          <w:szCs w:val="24"/>
        </w:rPr>
        <w:t>Program Reserve Projects</w:t>
      </w:r>
    </w:p>
    <w:p w:rsidR="00344E54" w:rsidRPr="00244ED1" w:rsidRDefault="00244ED1" w:rsidP="00244ED1">
      <w:pPr>
        <w:pStyle w:val="ListParagraph"/>
        <w:numPr>
          <w:ilvl w:val="1"/>
          <w:numId w:val="2"/>
        </w:numPr>
        <w:rPr>
          <w:rFonts w:cs="Times New Roman"/>
          <w:szCs w:val="24"/>
        </w:rPr>
      </w:pPr>
      <w:r>
        <w:rPr>
          <w:szCs w:val="24"/>
        </w:rPr>
        <w:t xml:space="preserve">The college </w:t>
      </w:r>
      <w:r w:rsidR="007E4DDD">
        <w:rPr>
          <w:szCs w:val="24"/>
        </w:rPr>
        <w:t>will be receiving</w:t>
      </w:r>
      <w:r>
        <w:rPr>
          <w:szCs w:val="24"/>
        </w:rPr>
        <w:t xml:space="preserve"> </w:t>
      </w:r>
      <w:r w:rsidR="00344E54" w:rsidRPr="00921F40">
        <w:rPr>
          <w:szCs w:val="24"/>
        </w:rPr>
        <w:t xml:space="preserve">$18 million back </w:t>
      </w:r>
      <w:r>
        <w:rPr>
          <w:szCs w:val="24"/>
        </w:rPr>
        <w:t>from Prop J and the funds</w:t>
      </w:r>
      <w:r w:rsidR="00791C6E" w:rsidRPr="00244ED1">
        <w:rPr>
          <w:szCs w:val="24"/>
        </w:rPr>
        <w:t xml:space="preserve"> from</w:t>
      </w:r>
      <w:r w:rsidR="00344E54" w:rsidRPr="00244ED1">
        <w:rPr>
          <w:szCs w:val="24"/>
        </w:rPr>
        <w:t xml:space="preserve"> the</w:t>
      </w:r>
      <w:r w:rsidR="00791C6E" w:rsidRPr="00244ED1">
        <w:rPr>
          <w:szCs w:val="24"/>
        </w:rPr>
        <w:t xml:space="preserve"> </w:t>
      </w:r>
      <w:r w:rsidR="00E54E41" w:rsidRPr="00244ED1">
        <w:rPr>
          <w:szCs w:val="24"/>
        </w:rPr>
        <w:t>program reserve will be used for the following projects:</w:t>
      </w:r>
      <w:r w:rsidR="00E54E41" w:rsidRPr="00E54E41">
        <w:t xml:space="preserve"> </w:t>
      </w:r>
    </w:p>
    <w:p w:rsidR="007E4DDD" w:rsidRDefault="007E4DDD" w:rsidP="00344E54">
      <w:pPr>
        <w:pStyle w:val="ListParagraph"/>
        <w:numPr>
          <w:ilvl w:val="2"/>
          <w:numId w:val="2"/>
        </w:numPr>
        <w:spacing w:after="200" w:line="276" w:lineRule="auto"/>
        <w:rPr>
          <w:rFonts w:cs="Times New Roman"/>
          <w:szCs w:val="24"/>
        </w:rPr>
      </w:pPr>
      <w:r>
        <w:rPr>
          <w:rFonts w:cs="Times New Roman"/>
          <w:szCs w:val="24"/>
        </w:rPr>
        <w:t>Demolition of bungalows on the South end of the campus</w:t>
      </w:r>
    </w:p>
    <w:p w:rsidR="007E4DDD" w:rsidRDefault="007E4DDD" w:rsidP="00344E54">
      <w:pPr>
        <w:pStyle w:val="ListParagraph"/>
        <w:numPr>
          <w:ilvl w:val="2"/>
          <w:numId w:val="2"/>
        </w:numPr>
        <w:spacing w:after="200" w:line="276" w:lineRule="auto"/>
        <w:rPr>
          <w:rFonts w:cs="Times New Roman"/>
          <w:szCs w:val="24"/>
        </w:rPr>
      </w:pPr>
      <w:r>
        <w:rPr>
          <w:rFonts w:cs="Times New Roman"/>
          <w:szCs w:val="24"/>
        </w:rPr>
        <w:t>Build parking lots H &amp; J in place of the bungalows</w:t>
      </w:r>
    </w:p>
    <w:p w:rsidR="00C0389A" w:rsidRPr="00344E54" w:rsidRDefault="00C0389A" w:rsidP="00C0389A">
      <w:pPr>
        <w:pStyle w:val="ListParagraph"/>
        <w:ind w:left="1440"/>
        <w:rPr>
          <w:szCs w:val="24"/>
        </w:rPr>
      </w:pPr>
    </w:p>
    <w:p w:rsidR="00344E54" w:rsidRPr="00344E54" w:rsidRDefault="007E4DDD" w:rsidP="004C082B">
      <w:pPr>
        <w:pStyle w:val="ListParagraph"/>
        <w:numPr>
          <w:ilvl w:val="0"/>
          <w:numId w:val="2"/>
        </w:numPr>
        <w:rPr>
          <w:b/>
          <w:szCs w:val="24"/>
        </w:rPr>
      </w:pPr>
      <w:r>
        <w:rPr>
          <w:b/>
          <w:szCs w:val="24"/>
        </w:rPr>
        <w:t>Campus Center</w:t>
      </w:r>
    </w:p>
    <w:p w:rsidR="00A00427" w:rsidRDefault="007E4DDD" w:rsidP="00A00427">
      <w:pPr>
        <w:pStyle w:val="ListParagraph"/>
        <w:numPr>
          <w:ilvl w:val="1"/>
          <w:numId w:val="2"/>
        </w:numPr>
      </w:pPr>
      <w:r>
        <w:t xml:space="preserve">With </w:t>
      </w:r>
      <w:r w:rsidR="0017009F">
        <w:t xml:space="preserve">a portion of </w:t>
      </w:r>
      <w:r>
        <w:t>Measure CC funds, t</w:t>
      </w:r>
      <w:r w:rsidR="00344E54">
        <w:t xml:space="preserve">he plan is to </w:t>
      </w:r>
      <w:r w:rsidR="00A00427">
        <w:t>demolish the T</w:t>
      </w:r>
      <w:r w:rsidR="004C082B">
        <w:t>he</w:t>
      </w:r>
      <w:r w:rsidR="00A00427">
        <w:t>ater A</w:t>
      </w:r>
      <w:r w:rsidR="004C082B">
        <w:t>rts building afte</w:t>
      </w:r>
      <w:r w:rsidR="00343E15">
        <w:t xml:space="preserve">r </w:t>
      </w:r>
      <w:r w:rsidR="00344E54">
        <w:t>VACC is complete</w:t>
      </w:r>
      <w:r w:rsidR="0017009F">
        <w:t xml:space="preserve"> and then </w:t>
      </w:r>
      <w:r w:rsidR="004C082B">
        <w:t xml:space="preserve">use that plot to build the new Campus </w:t>
      </w:r>
      <w:r w:rsidR="00344E54">
        <w:t>C</w:t>
      </w:r>
      <w:r w:rsidR="004C082B">
        <w:t xml:space="preserve">enter. </w:t>
      </w:r>
      <w:r w:rsidR="00A00427">
        <w:t xml:space="preserve">The new center will be </w:t>
      </w:r>
      <w:r w:rsidR="004D4D66">
        <w:t xml:space="preserve">approximately </w:t>
      </w:r>
      <w:r w:rsidR="00A00427">
        <w:t xml:space="preserve">50,000 square feet in comparison to the current space with 80,000 square footage; much of the current campus center is storage in the basement. </w:t>
      </w:r>
    </w:p>
    <w:p w:rsidR="00BC4E15" w:rsidRDefault="00BC4E15" w:rsidP="00A00427">
      <w:pPr>
        <w:pStyle w:val="ListParagraph"/>
        <w:numPr>
          <w:ilvl w:val="1"/>
          <w:numId w:val="2"/>
        </w:numPr>
      </w:pPr>
      <w:r>
        <w:t xml:space="preserve">The original plan was to renovate the current Campus Center, but the Facilities Index Code ended up greater than 50, which means that it would cost more to fix than to demolish and build a brand new building. </w:t>
      </w:r>
    </w:p>
    <w:p w:rsidR="0017009F" w:rsidRDefault="0017009F" w:rsidP="0017009F">
      <w:pPr>
        <w:pStyle w:val="ListParagraph"/>
        <w:numPr>
          <w:ilvl w:val="1"/>
          <w:numId w:val="2"/>
        </w:numPr>
      </w:pPr>
      <w:r>
        <w:lastRenderedPageBreak/>
        <w:t>The team is moving quickly to</w:t>
      </w:r>
      <w:r w:rsidR="00A00427">
        <w:t xml:space="preserve"> submit white papers (funding paperwork) within 30 days and</w:t>
      </w:r>
      <w:r>
        <w:t xml:space="preserve"> get the project into programming where a design architect would be </w:t>
      </w:r>
      <w:r w:rsidR="004C22F3">
        <w:t>brought on</w:t>
      </w:r>
      <w:r>
        <w:t xml:space="preserve">to the project to scope it.  </w:t>
      </w:r>
    </w:p>
    <w:p w:rsidR="0017009F" w:rsidRDefault="004C22F3" w:rsidP="0017009F">
      <w:pPr>
        <w:pStyle w:val="ListParagraph"/>
        <w:numPr>
          <w:ilvl w:val="1"/>
          <w:numId w:val="2"/>
        </w:numPr>
      </w:pPr>
      <w:r>
        <w:t xml:space="preserve">The IT portion of the current Campus Center will have to remain in the same </w:t>
      </w:r>
      <w:r w:rsidR="0017009F">
        <w:t>area</w:t>
      </w:r>
      <w:r>
        <w:t>; i</w:t>
      </w:r>
      <w:r w:rsidR="0017009F">
        <w:t>t will have to be a s</w:t>
      </w:r>
      <w:r>
        <w:t xml:space="preserve">mall building that stays there since the IT infrastructure is </w:t>
      </w:r>
      <w:r w:rsidR="003E54A1">
        <w:t xml:space="preserve">grounded there and cannot be moved. </w:t>
      </w:r>
    </w:p>
    <w:p w:rsidR="00F919AA" w:rsidRPr="001C1A80" w:rsidRDefault="00F919AA" w:rsidP="00F919AA">
      <w:pPr>
        <w:pStyle w:val="Heading1"/>
      </w:pPr>
      <w:r w:rsidRPr="001C1A80">
        <w:t>President’s Report</w:t>
      </w:r>
    </w:p>
    <w:p w:rsidR="00BC4E15" w:rsidRPr="00FB69D8" w:rsidRDefault="004D4D66" w:rsidP="006C2E1D">
      <w:pPr>
        <w:pStyle w:val="ListParagraph"/>
        <w:numPr>
          <w:ilvl w:val="0"/>
          <w:numId w:val="15"/>
        </w:numPr>
      </w:pPr>
      <w:r w:rsidRPr="00FB69D8">
        <w:t xml:space="preserve">In continuation from the Campus Center conversation, Lisa Davis inquired about the prioritization process. President Endrijonas gave a thorough explanation of the process, which included taking the list of projects to every </w:t>
      </w:r>
      <w:r w:rsidR="006C2E1D" w:rsidRPr="00FB69D8">
        <w:t>shared governance group</w:t>
      </w:r>
      <w:r w:rsidRPr="00FB69D8">
        <w:t xml:space="preserve"> and vice presidents to weigh in on. The results were then </w:t>
      </w:r>
      <w:r w:rsidR="00BC4E15" w:rsidRPr="00FB69D8">
        <w:t xml:space="preserve">compiled and prioritized. </w:t>
      </w:r>
    </w:p>
    <w:p w:rsidR="004D4D66" w:rsidRPr="00FB69D8" w:rsidRDefault="00BC4E15" w:rsidP="004D4D66">
      <w:pPr>
        <w:pStyle w:val="ListParagraph"/>
        <w:numPr>
          <w:ilvl w:val="0"/>
          <w:numId w:val="15"/>
        </w:numPr>
      </w:pPr>
      <w:r w:rsidRPr="00FB69D8">
        <w:t>Endrijonas elaborated that the district board is interested in the colleges being more efficient in space</w:t>
      </w:r>
      <w:r w:rsidR="000941C1" w:rsidRPr="00FB69D8">
        <w:t>, which is why the new Campus Center would be much smaller in square footage.</w:t>
      </w:r>
      <w:r w:rsidR="004D4D66" w:rsidRPr="00FB69D8">
        <w:t xml:space="preserve"> Maintenance costs and enrollment numbers are driving this message from the board to be efficient.  </w:t>
      </w:r>
    </w:p>
    <w:p w:rsidR="00756DF9" w:rsidRPr="00FB69D8" w:rsidRDefault="000941C1" w:rsidP="004D4D66">
      <w:pPr>
        <w:pStyle w:val="ListParagraph"/>
        <w:ind w:left="1080"/>
      </w:pPr>
      <w:r w:rsidRPr="00FB69D8">
        <w:t>There will be fewer classrooms, but the room capacity will be 45 or higher. The</w:t>
      </w:r>
      <w:r w:rsidR="00756DF9" w:rsidRPr="00FB69D8">
        <w:t xml:space="preserve"> district funds the colleges on</w:t>
      </w:r>
      <w:r w:rsidRPr="00FB69D8">
        <w:t xml:space="preserve"> assignable square footage</w:t>
      </w:r>
      <w:r w:rsidR="00756DF9" w:rsidRPr="00FB69D8">
        <w:t xml:space="preserve"> used for classrooms. </w:t>
      </w:r>
    </w:p>
    <w:p w:rsidR="006C2E1D" w:rsidRPr="00FB69D8" w:rsidRDefault="00FB69D8" w:rsidP="006C2E1D">
      <w:pPr>
        <w:pStyle w:val="ListParagraph"/>
        <w:numPr>
          <w:ilvl w:val="0"/>
          <w:numId w:val="15"/>
        </w:numPr>
      </w:pPr>
      <w:r w:rsidRPr="00FB69D8">
        <w:t xml:space="preserve">President Endrijonas was excited to report that LAVC is now officially an All Steinway Piano school. </w:t>
      </w:r>
    </w:p>
    <w:p w:rsidR="00637479" w:rsidRPr="001569D8" w:rsidRDefault="00637479" w:rsidP="00B4313A">
      <w:pPr>
        <w:pStyle w:val="Heading1"/>
      </w:pPr>
      <w:r w:rsidRPr="001569D8">
        <w:t xml:space="preserve">Items from the Floor </w:t>
      </w:r>
    </w:p>
    <w:p w:rsidR="00FB69D8" w:rsidRDefault="00FB69D8" w:rsidP="00FB69D8">
      <w:pPr>
        <w:pStyle w:val="ListParagraph"/>
        <w:numPr>
          <w:ilvl w:val="0"/>
          <w:numId w:val="16"/>
        </w:numPr>
      </w:pPr>
      <w:r>
        <w:t xml:space="preserve">Jo Ann Rivas inquired about the details of the ADA project and Mark Strauss will be working on getting the information for her. </w:t>
      </w:r>
    </w:p>
    <w:p w:rsidR="008D3AEF" w:rsidRPr="004E316A" w:rsidRDefault="008D3AEF" w:rsidP="00FB69D8">
      <w:pPr>
        <w:pStyle w:val="ListParagraph"/>
        <w:numPr>
          <w:ilvl w:val="0"/>
          <w:numId w:val="16"/>
        </w:numPr>
      </w:pPr>
      <w:r w:rsidRPr="004E316A">
        <w:t xml:space="preserve">Diedra Stark inquired about the recent issue with a neighbor and the LAVC track. President Endrijonas explained that she has met with the gentleman multiple times to explain that the track can only be open while there is supervision and for a small fee. The gentleman’s argument was that he already paid for the track as a taxpayer and therefore, should have access to it at all times for no fee. The gentleman did not like the response so he went to Councilmember Krekorian’s office and Assemblymember Nazarian’s office to complain, but to no avail. He was unhappy with the responses and decided to go to NBC. Endrijonas met with their investigator and provided an explanation with scenarios and examples. Unfortunately, the footage that ended up on NBC included extremely short clips that failed to cover the entire story.  </w:t>
      </w:r>
    </w:p>
    <w:p w:rsidR="00ED31A4" w:rsidRPr="001569D8" w:rsidRDefault="00ED31A4" w:rsidP="00B4313A">
      <w:pPr>
        <w:pStyle w:val="Heading1"/>
      </w:pPr>
      <w:r w:rsidRPr="001569D8">
        <w:t>Adjournment</w:t>
      </w:r>
    </w:p>
    <w:p w:rsidR="00ED31A4" w:rsidRPr="00ED31A4" w:rsidRDefault="00ED31A4" w:rsidP="00DB091B">
      <w:pPr>
        <w:pStyle w:val="BodyText"/>
      </w:pPr>
      <w:r>
        <w:t xml:space="preserve">Meeting adjourned at </w:t>
      </w:r>
      <w:r w:rsidR="00E46EF6">
        <w:t>6</w:t>
      </w:r>
      <w:r w:rsidR="001569D8">
        <w:t>:</w:t>
      </w:r>
      <w:r w:rsidR="00E46EF6">
        <w:t>55</w:t>
      </w:r>
      <w:r w:rsidR="001569D8">
        <w:t xml:space="preserve">PM. </w:t>
      </w:r>
    </w:p>
    <w:sectPr w:rsidR="00ED31A4" w:rsidRPr="00ED31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79" w:rsidRDefault="00637479" w:rsidP="00637479">
      <w:pPr>
        <w:spacing w:after="0" w:line="240" w:lineRule="auto"/>
      </w:pPr>
      <w:r>
        <w:separator/>
      </w:r>
    </w:p>
  </w:endnote>
  <w:endnote w:type="continuationSeparator" w:id="0">
    <w:p w:rsidR="00637479" w:rsidRDefault="00637479" w:rsidP="0063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79" w:rsidRDefault="00637479" w:rsidP="00637479">
      <w:pPr>
        <w:spacing w:after="0" w:line="240" w:lineRule="auto"/>
      </w:pPr>
      <w:r>
        <w:separator/>
      </w:r>
    </w:p>
  </w:footnote>
  <w:footnote w:type="continuationSeparator" w:id="0">
    <w:p w:rsidR="00637479" w:rsidRDefault="00637479" w:rsidP="006374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F34" w:rsidRDefault="00C44F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56865"/>
    <w:multiLevelType w:val="hybridMultilevel"/>
    <w:tmpl w:val="83340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4A499B"/>
    <w:multiLevelType w:val="hybridMultilevel"/>
    <w:tmpl w:val="2458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5E76"/>
    <w:multiLevelType w:val="hybridMultilevel"/>
    <w:tmpl w:val="28E2D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624"/>
    <w:multiLevelType w:val="hybridMultilevel"/>
    <w:tmpl w:val="9B929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44BA2"/>
    <w:multiLevelType w:val="hybridMultilevel"/>
    <w:tmpl w:val="55D2BA16"/>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42B79D4"/>
    <w:multiLevelType w:val="hybridMultilevel"/>
    <w:tmpl w:val="19CAE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596DF0"/>
    <w:multiLevelType w:val="hybridMultilevel"/>
    <w:tmpl w:val="C96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706E0"/>
    <w:multiLevelType w:val="hybridMultilevel"/>
    <w:tmpl w:val="FC4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42D0C"/>
    <w:multiLevelType w:val="hybridMultilevel"/>
    <w:tmpl w:val="3C50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53986"/>
    <w:multiLevelType w:val="hybridMultilevel"/>
    <w:tmpl w:val="FD1CC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1265966"/>
    <w:multiLevelType w:val="hybridMultilevel"/>
    <w:tmpl w:val="70E6C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3E5675"/>
    <w:multiLevelType w:val="hybridMultilevel"/>
    <w:tmpl w:val="216A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51684B"/>
    <w:multiLevelType w:val="hybridMultilevel"/>
    <w:tmpl w:val="55D2B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70F0C"/>
    <w:multiLevelType w:val="hybridMultilevel"/>
    <w:tmpl w:val="CE2AD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1B58A6"/>
    <w:multiLevelType w:val="hybridMultilevel"/>
    <w:tmpl w:val="3842A6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185F10"/>
    <w:multiLevelType w:val="hybridMultilevel"/>
    <w:tmpl w:val="7D8C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2"/>
  </w:num>
  <w:num w:numId="6">
    <w:abstractNumId w:val="4"/>
  </w:num>
  <w:num w:numId="7">
    <w:abstractNumId w:val="5"/>
  </w:num>
  <w:num w:numId="8">
    <w:abstractNumId w:val="2"/>
  </w:num>
  <w:num w:numId="9">
    <w:abstractNumId w:val="13"/>
  </w:num>
  <w:num w:numId="10">
    <w:abstractNumId w:val="10"/>
  </w:num>
  <w:num w:numId="11">
    <w:abstractNumId w:val="0"/>
  </w:num>
  <w:num w:numId="12">
    <w:abstractNumId w:val="11"/>
  </w:num>
  <w:num w:numId="13">
    <w:abstractNumId w:val="1"/>
  </w:num>
  <w:num w:numId="14">
    <w:abstractNumId w:val="15"/>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DE"/>
    <w:rsid w:val="00023FE6"/>
    <w:rsid w:val="00036A2E"/>
    <w:rsid w:val="00061718"/>
    <w:rsid w:val="00061FB2"/>
    <w:rsid w:val="0007175F"/>
    <w:rsid w:val="00074638"/>
    <w:rsid w:val="00080306"/>
    <w:rsid w:val="000941C1"/>
    <w:rsid w:val="000C6F5F"/>
    <w:rsid w:val="000D34F8"/>
    <w:rsid w:val="000E7C13"/>
    <w:rsid w:val="00107BE4"/>
    <w:rsid w:val="00133B07"/>
    <w:rsid w:val="00144849"/>
    <w:rsid w:val="001502B9"/>
    <w:rsid w:val="001569D8"/>
    <w:rsid w:val="00167740"/>
    <w:rsid w:val="0017009F"/>
    <w:rsid w:val="00171E22"/>
    <w:rsid w:val="00196910"/>
    <w:rsid w:val="001C1A80"/>
    <w:rsid w:val="001C2EC0"/>
    <w:rsid w:val="001C6F9D"/>
    <w:rsid w:val="001E5D6A"/>
    <w:rsid w:val="00230FFA"/>
    <w:rsid w:val="0023569F"/>
    <w:rsid w:val="00244ED1"/>
    <w:rsid w:val="0025234E"/>
    <w:rsid w:val="00276CA5"/>
    <w:rsid w:val="002A5AAF"/>
    <w:rsid w:val="002C2FBD"/>
    <w:rsid w:val="002D0244"/>
    <w:rsid w:val="002D5FBC"/>
    <w:rsid w:val="003128C8"/>
    <w:rsid w:val="00343ADF"/>
    <w:rsid w:val="00343E15"/>
    <w:rsid w:val="00344E54"/>
    <w:rsid w:val="00351996"/>
    <w:rsid w:val="00352AA9"/>
    <w:rsid w:val="00374D29"/>
    <w:rsid w:val="003E54A1"/>
    <w:rsid w:val="003F43B2"/>
    <w:rsid w:val="003F646A"/>
    <w:rsid w:val="00427E06"/>
    <w:rsid w:val="004579E8"/>
    <w:rsid w:val="00477543"/>
    <w:rsid w:val="0049095B"/>
    <w:rsid w:val="004C082B"/>
    <w:rsid w:val="004C22F3"/>
    <w:rsid w:val="004D1DE1"/>
    <w:rsid w:val="004D4D66"/>
    <w:rsid w:val="004E316A"/>
    <w:rsid w:val="0052775F"/>
    <w:rsid w:val="005419D2"/>
    <w:rsid w:val="0054248A"/>
    <w:rsid w:val="00542687"/>
    <w:rsid w:val="005505C6"/>
    <w:rsid w:val="00557CA9"/>
    <w:rsid w:val="005D2B8A"/>
    <w:rsid w:val="005E6501"/>
    <w:rsid w:val="00637479"/>
    <w:rsid w:val="00642B22"/>
    <w:rsid w:val="00642DE0"/>
    <w:rsid w:val="0066677B"/>
    <w:rsid w:val="00672792"/>
    <w:rsid w:val="00694B12"/>
    <w:rsid w:val="006C2E1D"/>
    <w:rsid w:val="006E1721"/>
    <w:rsid w:val="006F69CD"/>
    <w:rsid w:val="00704C24"/>
    <w:rsid w:val="00713692"/>
    <w:rsid w:val="00756DF9"/>
    <w:rsid w:val="007601DE"/>
    <w:rsid w:val="00770AA3"/>
    <w:rsid w:val="007905EA"/>
    <w:rsid w:val="00791C6E"/>
    <w:rsid w:val="007E4DDD"/>
    <w:rsid w:val="00804401"/>
    <w:rsid w:val="00814146"/>
    <w:rsid w:val="008344CD"/>
    <w:rsid w:val="00867222"/>
    <w:rsid w:val="008C1DD2"/>
    <w:rsid w:val="008D1D31"/>
    <w:rsid w:val="008D3AEF"/>
    <w:rsid w:val="008E37A9"/>
    <w:rsid w:val="00920A0F"/>
    <w:rsid w:val="00921F40"/>
    <w:rsid w:val="00926ECD"/>
    <w:rsid w:val="009650F3"/>
    <w:rsid w:val="00A00427"/>
    <w:rsid w:val="00A300B0"/>
    <w:rsid w:val="00A476DF"/>
    <w:rsid w:val="00AD12F8"/>
    <w:rsid w:val="00B0204D"/>
    <w:rsid w:val="00B0355C"/>
    <w:rsid w:val="00B073E0"/>
    <w:rsid w:val="00B3743E"/>
    <w:rsid w:val="00B4313A"/>
    <w:rsid w:val="00B47987"/>
    <w:rsid w:val="00B55A69"/>
    <w:rsid w:val="00B56F41"/>
    <w:rsid w:val="00B72170"/>
    <w:rsid w:val="00BC4E15"/>
    <w:rsid w:val="00BF647F"/>
    <w:rsid w:val="00C0389A"/>
    <w:rsid w:val="00C12D88"/>
    <w:rsid w:val="00C4337B"/>
    <w:rsid w:val="00C44F34"/>
    <w:rsid w:val="00C4561A"/>
    <w:rsid w:val="00C57466"/>
    <w:rsid w:val="00C57585"/>
    <w:rsid w:val="00C64543"/>
    <w:rsid w:val="00C80012"/>
    <w:rsid w:val="00CA5380"/>
    <w:rsid w:val="00CB716E"/>
    <w:rsid w:val="00D21633"/>
    <w:rsid w:val="00D92205"/>
    <w:rsid w:val="00D97371"/>
    <w:rsid w:val="00DA5043"/>
    <w:rsid w:val="00DA720C"/>
    <w:rsid w:val="00DB091B"/>
    <w:rsid w:val="00DC68AE"/>
    <w:rsid w:val="00E02852"/>
    <w:rsid w:val="00E35FC3"/>
    <w:rsid w:val="00E46EF6"/>
    <w:rsid w:val="00E54E41"/>
    <w:rsid w:val="00ED1B7B"/>
    <w:rsid w:val="00ED31A4"/>
    <w:rsid w:val="00F26964"/>
    <w:rsid w:val="00F62CF5"/>
    <w:rsid w:val="00F919AA"/>
    <w:rsid w:val="00FB0ADE"/>
    <w:rsid w:val="00FB69D8"/>
    <w:rsid w:val="00FC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83608735-9AA2-4BBC-B440-D2615FCE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964"/>
    <w:rPr>
      <w:rFonts w:ascii="Times New Roman" w:hAnsi="Times New Roman"/>
      <w:sz w:val="24"/>
    </w:rPr>
  </w:style>
  <w:style w:type="paragraph" w:styleId="Heading1">
    <w:name w:val="heading 1"/>
    <w:basedOn w:val="Normal"/>
    <w:next w:val="Normal"/>
    <w:link w:val="Heading1Char"/>
    <w:autoRedefine/>
    <w:uiPriority w:val="9"/>
    <w:qFormat/>
    <w:rsid w:val="00374D29"/>
    <w:pPr>
      <w:keepNext/>
      <w:keepLines/>
      <w:spacing w:before="24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431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31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4313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EC0"/>
    <w:pPr>
      <w:ind w:left="720"/>
      <w:contextualSpacing/>
    </w:pPr>
  </w:style>
  <w:style w:type="paragraph" w:styleId="Header">
    <w:name w:val="header"/>
    <w:basedOn w:val="Normal"/>
    <w:link w:val="HeaderChar"/>
    <w:uiPriority w:val="99"/>
    <w:unhideWhenUsed/>
    <w:rsid w:val="00637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479"/>
  </w:style>
  <w:style w:type="paragraph" w:styleId="Footer">
    <w:name w:val="footer"/>
    <w:basedOn w:val="Normal"/>
    <w:link w:val="FooterChar"/>
    <w:uiPriority w:val="99"/>
    <w:unhideWhenUsed/>
    <w:rsid w:val="00637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479"/>
  </w:style>
  <w:style w:type="character" w:customStyle="1" w:styleId="Heading1Char">
    <w:name w:val="Heading 1 Char"/>
    <w:basedOn w:val="DefaultParagraphFont"/>
    <w:link w:val="Heading1"/>
    <w:uiPriority w:val="9"/>
    <w:rsid w:val="00374D29"/>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B4313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4313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313A"/>
    <w:rPr>
      <w:rFonts w:asciiTheme="majorHAnsi" w:eastAsiaTheme="majorEastAsia" w:hAnsiTheme="majorHAnsi" w:cstheme="majorBidi"/>
      <w:i/>
      <w:iCs/>
      <w:color w:val="2E74B5" w:themeColor="accent1" w:themeShade="BF"/>
    </w:rPr>
  </w:style>
  <w:style w:type="paragraph" w:styleId="Date">
    <w:name w:val="Date"/>
    <w:basedOn w:val="Normal"/>
    <w:next w:val="Normal"/>
    <w:link w:val="DateChar"/>
    <w:uiPriority w:val="99"/>
    <w:unhideWhenUsed/>
    <w:rsid w:val="00B4313A"/>
  </w:style>
  <w:style w:type="character" w:customStyle="1" w:styleId="DateChar">
    <w:name w:val="Date Char"/>
    <w:basedOn w:val="DefaultParagraphFont"/>
    <w:link w:val="Date"/>
    <w:uiPriority w:val="99"/>
    <w:rsid w:val="00B4313A"/>
  </w:style>
  <w:style w:type="paragraph" w:styleId="BodyText">
    <w:name w:val="Body Text"/>
    <w:basedOn w:val="Normal"/>
    <w:link w:val="BodyTextChar"/>
    <w:uiPriority w:val="99"/>
    <w:unhideWhenUsed/>
    <w:rsid w:val="00B4313A"/>
    <w:pPr>
      <w:spacing w:after="120"/>
    </w:pPr>
  </w:style>
  <w:style w:type="character" w:customStyle="1" w:styleId="BodyTextChar">
    <w:name w:val="Body Text Char"/>
    <w:basedOn w:val="DefaultParagraphFont"/>
    <w:link w:val="BodyText"/>
    <w:uiPriority w:val="99"/>
    <w:rsid w:val="00B4313A"/>
  </w:style>
  <w:style w:type="paragraph" w:styleId="Title">
    <w:name w:val="Title"/>
    <w:basedOn w:val="Normal"/>
    <w:next w:val="Normal"/>
    <w:link w:val="TitleChar"/>
    <w:uiPriority w:val="10"/>
    <w:qFormat/>
    <w:rsid w:val="00B4313A"/>
    <w:pPr>
      <w:spacing w:after="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4313A"/>
    <w:rPr>
      <w:rFonts w:ascii="Times New Roman" w:eastAsiaTheme="majorEastAsia" w:hAnsi="Times New Roman" w:cstheme="majorBidi"/>
      <w:b/>
      <w:spacing w:val="-10"/>
      <w:kern w:val="28"/>
      <w:sz w:val="24"/>
      <w:szCs w:val="56"/>
    </w:rPr>
  </w:style>
  <w:style w:type="table" w:styleId="TableGrid">
    <w:name w:val="Table Grid"/>
    <w:basedOn w:val="TableNormal"/>
    <w:uiPriority w:val="39"/>
    <w:rsid w:val="00790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4401"/>
    <w:rPr>
      <w:color w:val="0563C1" w:themeColor="hyperlink"/>
      <w:u w:val="single"/>
    </w:rPr>
  </w:style>
  <w:style w:type="character" w:styleId="FollowedHyperlink">
    <w:name w:val="FollowedHyperlink"/>
    <w:basedOn w:val="DefaultParagraphFont"/>
    <w:uiPriority w:val="99"/>
    <w:semiHidden/>
    <w:unhideWhenUsed/>
    <w:rsid w:val="00D922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ulkrekorian.org/cd2townhal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7C92-3A85-4552-A1A1-52FCC0CE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dc:creator>
  <cp:keywords/>
  <dc:description/>
  <cp:lastModifiedBy>Galukyan, Armine</cp:lastModifiedBy>
  <cp:revision>2</cp:revision>
  <cp:lastPrinted>2018-01-05T00:16:00Z</cp:lastPrinted>
  <dcterms:created xsi:type="dcterms:W3CDTF">2018-05-16T00:20:00Z</dcterms:created>
  <dcterms:modified xsi:type="dcterms:W3CDTF">2018-05-16T00:20:00Z</dcterms:modified>
</cp:coreProperties>
</file>